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33FA">
      <w:pPr>
        <w:spacing w:line="360" w:lineRule="auto"/>
        <w:jc w:val="center"/>
        <w:rPr>
          <w:rFonts w:hint="eastAsia" w:ascii="楷体" w:hAnsi="楷体" w:eastAsia="楷体"/>
          <w:b/>
          <w:color w:val="000000"/>
          <w:sz w:val="44"/>
          <w:szCs w:val="44"/>
        </w:rPr>
      </w:pPr>
    </w:p>
    <w:p w14:paraId="6B26B6FB">
      <w:pPr>
        <w:spacing w:line="360" w:lineRule="auto"/>
        <w:jc w:val="center"/>
        <w:rPr>
          <w:rFonts w:hint="eastAsia" w:ascii="楷体" w:hAnsi="楷体" w:eastAsia="楷体"/>
          <w:b/>
          <w:color w:val="000000"/>
          <w:sz w:val="44"/>
          <w:szCs w:val="44"/>
        </w:rPr>
      </w:pPr>
    </w:p>
    <w:p w14:paraId="161B2C5F">
      <w:pPr>
        <w:spacing w:line="360" w:lineRule="auto"/>
        <w:jc w:val="center"/>
        <w:rPr>
          <w:rFonts w:hint="eastAsia" w:ascii="楷体" w:hAnsi="楷体" w:eastAsia="楷体"/>
          <w:b/>
          <w:color w:val="000000"/>
          <w:sz w:val="44"/>
          <w:szCs w:val="44"/>
          <w:lang w:eastAsia="zh-CN"/>
        </w:rPr>
      </w:pPr>
      <w:r>
        <w:rPr>
          <w:rFonts w:hint="eastAsia" w:ascii="楷体" w:hAnsi="楷体" w:eastAsia="楷体"/>
          <w:b/>
          <w:color w:val="000000"/>
          <w:sz w:val="44"/>
          <w:szCs w:val="44"/>
          <w:lang w:eastAsia="zh-CN"/>
        </w:rPr>
        <w:t>山东泰东实业有限公司</w:t>
      </w:r>
    </w:p>
    <w:p w14:paraId="3423AC20">
      <w:pPr>
        <w:spacing w:line="360" w:lineRule="auto"/>
        <w:jc w:val="center"/>
        <w:rPr>
          <w:rFonts w:ascii="楷体" w:hAnsi="楷体" w:eastAsia="楷体"/>
          <w:b/>
          <w:color w:val="000000"/>
          <w:sz w:val="44"/>
          <w:szCs w:val="44"/>
        </w:rPr>
      </w:pPr>
    </w:p>
    <w:p w14:paraId="531BCCFE">
      <w:pPr>
        <w:spacing w:line="360" w:lineRule="auto"/>
        <w:jc w:val="center"/>
        <w:rPr>
          <w:rFonts w:ascii="楷体" w:hAnsi="楷体" w:eastAsia="楷体"/>
          <w:b/>
          <w:color w:val="000000"/>
          <w:sz w:val="44"/>
          <w:szCs w:val="44"/>
        </w:rPr>
      </w:pPr>
    </w:p>
    <w:p w14:paraId="6822B048">
      <w:pPr>
        <w:spacing w:line="400" w:lineRule="atLeast"/>
        <w:ind w:firstLine="2168" w:firstLineChars="600"/>
        <w:jc w:val="both"/>
        <w:rPr>
          <w:rFonts w:hint="eastAsia" w:ascii="楷体" w:hAnsi="楷体" w:eastAsia="楷体" w:cs="Arial"/>
          <w:b/>
          <w:sz w:val="36"/>
          <w:szCs w:val="36"/>
          <w:lang w:eastAsia="zh-CN"/>
        </w:rPr>
      </w:pPr>
      <w:r>
        <w:rPr>
          <w:rFonts w:hint="eastAsia" w:ascii="楷体" w:hAnsi="楷体" w:eastAsia="楷体" w:cs="Arial"/>
          <w:b/>
          <w:sz w:val="36"/>
          <w:szCs w:val="36"/>
        </w:rPr>
        <w:t>起重机械维修</w:t>
      </w:r>
      <w:r>
        <w:rPr>
          <w:rFonts w:hint="eastAsia" w:ascii="楷体" w:hAnsi="楷体" w:eastAsia="楷体" w:cs="Arial"/>
          <w:b/>
          <w:sz w:val="36"/>
          <w:szCs w:val="36"/>
          <w:lang w:eastAsia="zh-CN"/>
        </w:rPr>
        <w:t>保养项目招标说明</w:t>
      </w:r>
    </w:p>
    <w:p w14:paraId="01C3E580">
      <w:pPr>
        <w:spacing w:line="360" w:lineRule="auto"/>
        <w:jc w:val="center"/>
        <w:rPr>
          <w:rFonts w:ascii="楷体" w:hAnsi="楷体" w:eastAsia="楷体"/>
          <w:b/>
          <w:sz w:val="32"/>
          <w:szCs w:val="32"/>
        </w:rPr>
      </w:pPr>
    </w:p>
    <w:p w14:paraId="54A398DC">
      <w:pPr>
        <w:spacing w:line="360" w:lineRule="auto"/>
        <w:jc w:val="center"/>
        <w:rPr>
          <w:rFonts w:ascii="楷体" w:hAnsi="楷体" w:eastAsia="楷体"/>
          <w:b/>
          <w:sz w:val="32"/>
          <w:szCs w:val="32"/>
        </w:rPr>
      </w:pPr>
    </w:p>
    <w:p w14:paraId="59423F7E">
      <w:pPr>
        <w:jc w:val="center"/>
        <w:rPr>
          <w:rFonts w:ascii="楷体" w:hAnsi="楷体" w:eastAsia="楷体"/>
          <w:b/>
          <w:sz w:val="32"/>
          <w:szCs w:val="32"/>
        </w:rPr>
      </w:pPr>
    </w:p>
    <w:p w14:paraId="55EDFD67">
      <w:pPr>
        <w:rPr>
          <w:rFonts w:ascii="楷体" w:hAnsi="楷体" w:eastAsia="楷体"/>
          <w:b/>
          <w:sz w:val="32"/>
          <w:szCs w:val="32"/>
        </w:rPr>
      </w:pPr>
    </w:p>
    <w:p w14:paraId="5B5A657E">
      <w:pPr>
        <w:jc w:val="center"/>
        <w:rPr>
          <w:rFonts w:ascii="楷体" w:hAnsi="楷体" w:eastAsia="楷体"/>
          <w:b/>
          <w:sz w:val="32"/>
          <w:szCs w:val="32"/>
        </w:rPr>
      </w:pPr>
    </w:p>
    <w:p w14:paraId="56F385A1">
      <w:pPr>
        <w:ind w:firstLine="2233" w:firstLineChars="695"/>
        <w:jc w:val="left"/>
        <w:rPr>
          <w:rFonts w:hint="eastAsia" w:ascii="楷体" w:hAnsi="楷体" w:eastAsia="楷体"/>
          <w:b/>
          <w:sz w:val="32"/>
          <w:szCs w:val="32"/>
          <w:lang w:eastAsia="zh-CN"/>
        </w:rPr>
      </w:pPr>
      <w:r>
        <w:rPr>
          <w:rFonts w:hint="eastAsia" w:ascii="楷体" w:hAnsi="楷体" w:eastAsia="楷体"/>
          <w:b/>
          <w:sz w:val="32"/>
          <w:szCs w:val="32"/>
        </w:rPr>
        <w:t>甲方：</w:t>
      </w:r>
      <w:r>
        <w:rPr>
          <w:rFonts w:hint="eastAsia" w:ascii="楷体" w:hAnsi="楷体" w:eastAsia="楷体"/>
          <w:b/>
          <w:sz w:val="32"/>
          <w:szCs w:val="32"/>
          <w:lang w:eastAsia="zh-CN"/>
        </w:rPr>
        <w:t>山东泰东实业有限公司</w:t>
      </w:r>
    </w:p>
    <w:p w14:paraId="4FA3E6C6">
      <w:pPr>
        <w:ind w:firstLine="2233" w:firstLineChars="695"/>
        <w:jc w:val="left"/>
        <w:rPr>
          <w:rFonts w:hint="eastAsia" w:ascii="楷体" w:hAnsi="楷体" w:eastAsia="楷体"/>
          <w:b/>
          <w:sz w:val="32"/>
          <w:szCs w:val="32"/>
          <w:lang w:eastAsia="zh-CN"/>
        </w:rPr>
      </w:pPr>
      <w:r>
        <w:rPr>
          <w:rFonts w:hint="eastAsia" w:ascii="楷体" w:hAnsi="楷体" w:eastAsia="楷体"/>
          <w:b/>
          <w:sz w:val="32"/>
          <w:szCs w:val="32"/>
        </w:rPr>
        <w:t>乙方：</w:t>
      </w:r>
      <w:r>
        <w:rPr>
          <w:rFonts w:hint="eastAsia" w:ascii="楷体" w:hAnsi="楷体" w:eastAsia="楷体"/>
          <w:b/>
          <w:sz w:val="32"/>
          <w:szCs w:val="32"/>
          <w:lang w:eastAsia="zh-CN"/>
        </w:rPr>
        <w:t>投标方</w:t>
      </w:r>
    </w:p>
    <w:p w14:paraId="4AF470F2">
      <w:pPr>
        <w:jc w:val="center"/>
        <w:rPr>
          <w:rFonts w:ascii="楷体" w:hAnsi="楷体" w:eastAsia="楷体"/>
          <w:b/>
          <w:sz w:val="32"/>
          <w:szCs w:val="32"/>
        </w:rPr>
      </w:pPr>
    </w:p>
    <w:p w14:paraId="10939391">
      <w:pPr>
        <w:rPr>
          <w:rFonts w:hint="eastAsia" w:ascii="楷体" w:hAnsi="楷体" w:eastAsia="楷体"/>
          <w:b/>
          <w:sz w:val="32"/>
          <w:szCs w:val="32"/>
        </w:rPr>
      </w:pPr>
    </w:p>
    <w:p w14:paraId="2ECE47B1">
      <w:pPr>
        <w:rPr>
          <w:rFonts w:hint="eastAsia" w:ascii="楷体" w:hAnsi="楷体" w:eastAsia="楷体"/>
          <w:b/>
          <w:sz w:val="32"/>
          <w:szCs w:val="32"/>
        </w:rPr>
      </w:pPr>
    </w:p>
    <w:p w14:paraId="3C230217">
      <w:pPr>
        <w:jc w:val="center"/>
        <w:rPr>
          <w:rFonts w:ascii="楷体" w:hAnsi="楷体" w:eastAsia="楷体"/>
          <w:b/>
          <w:sz w:val="32"/>
          <w:szCs w:val="32"/>
        </w:rPr>
      </w:pPr>
    </w:p>
    <w:p w14:paraId="7966CAD7">
      <w:pPr>
        <w:jc w:val="center"/>
        <w:rPr>
          <w:rFonts w:ascii="楷体" w:hAnsi="楷体" w:eastAsia="楷体"/>
          <w:b/>
          <w:sz w:val="32"/>
          <w:szCs w:val="32"/>
        </w:rPr>
      </w:pPr>
    </w:p>
    <w:p w14:paraId="59422BEB">
      <w:pPr>
        <w:jc w:val="center"/>
        <w:rPr>
          <w:rFonts w:ascii="楷体" w:hAnsi="楷体" w:eastAsia="楷体"/>
          <w:b/>
          <w:sz w:val="32"/>
          <w:szCs w:val="32"/>
        </w:rPr>
      </w:pPr>
    </w:p>
    <w:p w14:paraId="4CF9CAFF">
      <w:pPr>
        <w:jc w:val="center"/>
        <w:rPr>
          <w:rFonts w:ascii="楷体" w:hAnsi="楷体" w:eastAsia="楷体"/>
          <w:b/>
          <w:sz w:val="32"/>
          <w:szCs w:val="32"/>
        </w:rPr>
      </w:pPr>
    </w:p>
    <w:p w14:paraId="69606AFE">
      <w:pPr>
        <w:jc w:val="center"/>
        <w:rPr>
          <w:rFonts w:ascii="楷体" w:hAnsi="楷体" w:eastAsia="楷体"/>
          <w:b/>
          <w:sz w:val="32"/>
          <w:szCs w:val="32"/>
        </w:rPr>
      </w:pPr>
    </w:p>
    <w:p w14:paraId="33F63314">
      <w:pPr>
        <w:jc w:val="center"/>
        <w:rPr>
          <w:rFonts w:ascii="楷体" w:hAnsi="楷体" w:eastAsia="楷体"/>
          <w:b/>
          <w:sz w:val="32"/>
          <w:szCs w:val="32"/>
        </w:rPr>
      </w:pPr>
    </w:p>
    <w:p w14:paraId="710280EA">
      <w:pPr>
        <w:pStyle w:val="10"/>
        <w:ind w:firstLine="2168" w:firstLineChars="600"/>
        <w:rPr>
          <w:rFonts w:hint="default" w:ascii="楷体" w:hAnsi="楷体" w:eastAsia="楷体"/>
          <w:b/>
          <w:sz w:val="36"/>
          <w:szCs w:val="36"/>
          <w:lang w:val="en-US" w:eastAsia="zh-CN"/>
        </w:rPr>
      </w:pPr>
      <w:bookmarkStart w:id="0" w:name="_Toc223748050"/>
      <w:r>
        <w:rPr>
          <w:rFonts w:hint="eastAsia" w:ascii="楷体" w:hAnsi="楷体" w:eastAsia="楷体"/>
          <w:b/>
          <w:sz w:val="36"/>
          <w:szCs w:val="36"/>
        </w:rPr>
        <w:t>第一部分  技术内容</w:t>
      </w:r>
      <w:r>
        <w:rPr>
          <w:rFonts w:hint="eastAsia" w:ascii="楷体" w:hAnsi="楷体" w:eastAsia="楷体"/>
          <w:b/>
          <w:sz w:val="36"/>
          <w:szCs w:val="36"/>
          <w:lang w:eastAsia="zh-CN"/>
        </w:rPr>
        <w:t>（投标须知）</w:t>
      </w:r>
      <w:r>
        <w:rPr>
          <w:rFonts w:hint="eastAsia" w:ascii="楷体" w:hAnsi="楷体" w:eastAsia="楷体"/>
          <w:b/>
          <w:sz w:val="36"/>
          <w:szCs w:val="36"/>
          <w:lang w:val="en-US" w:eastAsia="zh-CN"/>
        </w:rPr>
        <w:t xml:space="preserve"> </w:t>
      </w:r>
    </w:p>
    <w:p w14:paraId="35F596E7">
      <w:pPr>
        <w:adjustRightInd w:val="0"/>
        <w:snapToGrid w:val="0"/>
        <w:spacing w:line="400" w:lineRule="atLeast"/>
        <w:ind w:firstLine="480" w:firstLineChars="200"/>
        <w:rPr>
          <w:rFonts w:ascii="楷体" w:hAnsi="楷体" w:eastAsia="楷体"/>
          <w:color w:val="000000"/>
          <w:sz w:val="24"/>
        </w:rPr>
      </w:pPr>
    </w:p>
    <w:p w14:paraId="78260EB9">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经协商，双方就</w:t>
      </w:r>
      <w:r>
        <w:rPr>
          <w:rFonts w:hint="eastAsia" w:ascii="楷体" w:hAnsi="楷体" w:eastAsia="楷体"/>
          <w:color w:val="000000"/>
          <w:sz w:val="24"/>
          <w:lang w:eastAsia="zh-CN"/>
        </w:rPr>
        <w:t>山东泰东实业有限公司所有</w:t>
      </w:r>
      <w:r>
        <w:rPr>
          <w:rFonts w:hint="eastAsia" w:ascii="楷体" w:hAnsi="楷体" w:eastAsia="楷体"/>
          <w:color w:val="000000"/>
          <w:sz w:val="24"/>
        </w:rPr>
        <w:t>重机械维修</w:t>
      </w:r>
      <w:r>
        <w:rPr>
          <w:rFonts w:hint="eastAsia" w:ascii="楷体" w:hAnsi="楷体" w:eastAsia="楷体"/>
          <w:color w:val="000000"/>
          <w:sz w:val="24"/>
          <w:lang w:eastAsia="zh-CN"/>
        </w:rPr>
        <w:t>保养</w:t>
      </w:r>
      <w:r>
        <w:rPr>
          <w:rFonts w:hint="eastAsia" w:ascii="楷体" w:hAnsi="楷体" w:eastAsia="楷体"/>
          <w:color w:val="000000"/>
          <w:sz w:val="24"/>
        </w:rPr>
        <w:t>总承包的技术要求及技术接口等事宜达成如下协议：</w:t>
      </w:r>
    </w:p>
    <w:p w14:paraId="3DFB57C0">
      <w:pPr>
        <w:pStyle w:val="3"/>
        <w:spacing w:before="0" w:after="0" w:line="240" w:lineRule="auto"/>
        <w:rPr>
          <w:rFonts w:ascii="楷体" w:hAnsi="楷体" w:eastAsia="楷体"/>
          <w:kern w:val="2"/>
          <w:szCs w:val="28"/>
        </w:rPr>
      </w:pPr>
      <w:r>
        <w:rPr>
          <w:rFonts w:hint="eastAsia" w:ascii="楷体" w:hAnsi="楷体" w:eastAsia="楷体"/>
          <w:kern w:val="2"/>
          <w:szCs w:val="28"/>
        </w:rPr>
        <w:t>总则</w:t>
      </w:r>
    </w:p>
    <w:p w14:paraId="07A0C7B5">
      <w:pPr>
        <w:adjustRightInd w:val="0"/>
        <w:snapToGrid w:val="0"/>
        <w:rPr>
          <w:rFonts w:ascii="楷体" w:hAnsi="楷体" w:eastAsia="楷体"/>
          <w:color w:val="000000"/>
          <w:sz w:val="24"/>
        </w:rPr>
      </w:pPr>
      <w:r>
        <w:rPr>
          <w:rFonts w:hint="eastAsia" w:ascii="楷体" w:hAnsi="楷体" w:eastAsia="楷体"/>
          <w:color w:val="000000"/>
          <w:sz w:val="24"/>
        </w:rPr>
        <w:t>1.1本技术协议是</w:t>
      </w:r>
      <w:r>
        <w:rPr>
          <w:rFonts w:hint="eastAsia" w:ascii="楷体" w:hAnsi="楷体" w:eastAsia="楷体"/>
          <w:color w:val="000000"/>
          <w:sz w:val="24"/>
          <w:lang w:eastAsia="zh-CN"/>
        </w:rPr>
        <w:t>山东泰东有限公司</w:t>
      </w:r>
      <w:r>
        <w:rPr>
          <w:rFonts w:hint="eastAsia" w:ascii="楷体" w:hAnsi="楷体" w:eastAsia="楷体"/>
          <w:color w:val="000000"/>
          <w:sz w:val="24"/>
        </w:rPr>
        <w:t>（甲方）与</w:t>
      </w:r>
      <w:r>
        <w:rPr>
          <w:rFonts w:hint="eastAsia" w:ascii="楷体" w:hAnsi="楷体" w:eastAsia="楷体"/>
          <w:color w:val="000000"/>
          <w:sz w:val="24"/>
          <w:u w:val="single"/>
          <w:lang w:val="en-US" w:eastAsia="zh-CN"/>
        </w:rPr>
        <w:t xml:space="preserve">  待定 </w:t>
      </w:r>
      <w:r>
        <w:rPr>
          <w:rFonts w:hint="eastAsia" w:ascii="楷体" w:hAnsi="楷体" w:eastAsia="楷体"/>
          <w:color w:val="000000"/>
          <w:sz w:val="24"/>
        </w:rPr>
        <w:t>（乙方）签订</w:t>
      </w:r>
      <w:r>
        <w:rPr>
          <w:rFonts w:hint="eastAsia" w:ascii="楷体" w:hAnsi="楷体" w:eastAsia="楷体"/>
          <w:color w:val="000000"/>
          <w:sz w:val="24"/>
          <w:lang w:eastAsia="zh-CN"/>
        </w:rPr>
        <w:t>的</w:t>
      </w:r>
      <w:r>
        <w:rPr>
          <w:rFonts w:hint="eastAsia" w:ascii="楷体" w:hAnsi="楷体" w:eastAsia="楷体"/>
          <w:color w:val="000000"/>
          <w:sz w:val="24"/>
        </w:rPr>
        <w:t>起重机械维修</w:t>
      </w:r>
      <w:r>
        <w:rPr>
          <w:rFonts w:hint="eastAsia" w:ascii="楷体" w:hAnsi="楷体" w:eastAsia="楷体"/>
          <w:color w:val="000000"/>
          <w:sz w:val="24"/>
          <w:lang w:eastAsia="zh-CN"/>
        </w:rPr>
        <w:t>保养</w:t>
      </w:r>
      <w:r>
        <w:rPr>
          <w:rFonts w:hint="eastAsia" w:ascii="楷体" w:hAnsi="楷体" w:eastAsia="楷体"/>
          <w:color w:val="000000"/>
          <w:sz w:val="24"/>
        </w:rPr>
        <w:t>总承包的技术附件，为该商务合同不可分割的一部分。</w:t>
      </w:r>
    </w:p>
    <w:p w14:paraId="5E302EE3">
      <w:pPr>
        <w:adjustRightInd w:val="0"/>
        <w:snapToGrid w:val="0"/>
        <w:rPr>
          <w:rFonts w:ascii="楷体" w:hAnsi="楷体" w:eastAsia="楷体"/>
          <w:color w:val="000000"/>
          <w:sz w:val="24"/>
        </w:rPr>
      </w:pPr>
      <w:r>
        <w:rPr>
          <w:rFonts w:hint="eastAsia" w:ascii="楷体" w:hAnsi="楷体" w:eastAsia="楷体"/>
          <w:color w:val="000000"/>
          <w:sz w:val="24"/>
        </w:rPr>
        <w:t>1.2本技术协议条款针对本合同所有设备，除非特定条款单独指明适用特定设备。</w:t>
      </w:r>
    </w:p>
    <w:p w14:paraId="2A56BFF7">
      <w:pPr>
        <w:adjustRightInd w:val="0"/>
        <w:snapToGrid w:val="0"/>
        <w:rPr>
          <w:rFonts w:ascii="楷体" w:hAnsi="楷体" w:eastAsia="楷体"/>
          <w:color w:val="000000"/>
          <w:sz w:val="24"/>
        </w:rPr>
      </w:pPr>
      <w:r>
        <w:rPr>
          <w:rFonts w:hint="eastAsia" w:ascii="楷体" w:hAnsi="楷体" w:eastAsia="楷体"/>
          <w:color w:val="000000"/>
          <w:sz w:val="24"/>
        </w:rPr>
        <w:t>1.3本协议仅提供有关的技术要求，并未对一切技术细节做出规定，也未充分引述有关制造标准及其详细条文，协议条款或设计审查并不免除乙方的技术责任，乙方的产品及服务应在保证本协议的技术要求和技术接口等相关规定的前提下，保证符合国家、行业的有关法律法规、标准规范的规定。</w:t>
      </w:r>
    </w:p>
    <w:p w14:paraId="528136B1">
      <w:pPr>
        <w:adjustRightInd w:val="0"/>
        <w:snapToGrid w:val="0"/>
        <w:rPr>
          <w:rFonts w:ascii="楷体" w:hAnsi="楷体" w:eastAsia="楷体"/>
          <w:color w:val="000000"/>
          <w:sz w:val="24"/>
        </w:rPr>
      </w:pPr>
      <w:r>
        <w:rPr>
          <w:rFonts w:hint="eastAsia" w:ascii="楷体" w:hAnsi="楷体" w:eastAsia="楷体"/>
          <w:color w:val="000000"/>
          <w:sz w:val="24"/>
        </w:rPr>
        <w:t>1.4甲方保留对乙方提供的技术资料提出补充和修改的权利，乙方在此承诺予以配合。如乙方提出修改，应征得甲方同意，或双方协商解决。</w:t>
      </w:r>
    </w:p>
    <w:p w14:paraId="787F850D">
      <w:pPr>
        <w:adjustRightInd w:val="0"/>
        <w:snapToGrid w:val="0"/>
        <w:rPr>
          <w:rFonts w:ascii="楷体" w:hAnsi="楷体" w:eastAsia="楷体"/>
          <w:color w:val="000000"/>
          <w:sz w:val="24"/>
        </w:rPr>
      </w:pPr>
      <w:r>
        <w:rPr>
          <w:rFonts w:hint="eastAsia" w:ascii="楷体" w:hAnsi="楷体" w:eastAsia="楷体"/>
          <w:color w:val="000000"/>
          <w:sz w:val="24"/>
        </w:rPr>
        <w:t>1.5甲乙双方均应保护对方的知识产权，未经对方同意，任何一方均不得将对方的资料及文件擅自修改、复制或向第三人转让或用于本合同项目以外的项目。如发生以上情况，泄密方承担一切由此引起的后果并承担赔偿责任。</w:t>
      </w:r>
    </w:p>
    <w:p w14:paraId="775BEC2C">
      <w:pPr>
        <w:adjustRightInd w:val="0"/>
        <w:snapToGrid w:val="0"/>
        <w:rPr>
          <w:rFonts w:ascii="楷体" w:hAnsi="楷体" w:eastAsia="楷体"/>
          <w:color w:val="000000"/>
          <w:sz w:val="24"/>
        </w:rPr>
      </w:pPr>
      <w:r>
        <w:rPr>
          <w:rFonts w:hint="eastAsia" w:ascii="楷体" w:hAnsi="楷体" w:eastAsia="楷体"/>
          <w:color w:val="000000"/>
          <w:sz w:val="24"/>
        </w:rPr>
        <w:t>1.6乙方保证向甲方提供的专有技术、专利或其他知识产权不会侵犯任何其他方的权利，如果在本工程应用的技术、专有技术及专利引起任何异议或法律纠纷时，乙方将自行负责处理，并保证甲方仍然完整地得到合同附件中规定的专有技术、专利使用权。</w:t>
      </w:r>
    </w:p>
    <w:p w14:paraId="1D399123">
      <w:pPr>
        <w:pStyle w:val="3"/>
        <w:spacing w:before="0" w:after="0" w:line="240" w:lineRule="auto"/>
        <w:rPr>
          <w:rFonts w:ascii="楷体" w:hAnsi="楷体" w:eastAsia="楷体"/>
          <w:kern w:val="2"/>
          <w:szCs w:val="28"/>
        </w:rPr>
      </w:pPr>
      <w:r>
        <w:rPr>
          <w:rFonts w:hint="eastAsia" w:ascii="楷体" w:hAnsi="楷体" w:eastAsia="楷体"/>
          <w:kern w:val="2"/>
          <w:szCs w:val="28"/>
        </w:rPr>
        <w:t>维修</w:t>
      </w:r>
      <w:r>
        <w:rPr>
          <w:rFonts w:hint="eastAsia" w:ascii="楷体" w:hAnsi="楷体" w:eastAsia="楷体"/>
          <w:kern w:val="2"/>
          <w:szCs w:val="28"/>
          <w:lang w:eastAsia="zh-CN"/>
        </w:rPr>
        <w:t>保养</w:t>
      </w:r>
      <w:r>
        <w:rPr>
          <w:rFonts w:hint="eastAsia" w:ascii="楷体" w:hAnsi="楷体" w:eastAsia="楷体"/>
          <w:kern w:val="2"/>
          <w:szCs w:val="28"/>
        </w:rPr>
        <w:t>内容</w:t>
      </w:r>
    </w:p>
    <w:bookmarkEnd w:id="0"/>
    <w:p w14:paraId="2EB52D8F">
      <w:pPr>
        <w:adjustRightInd w:val="0"/>
        <w:snapToGrid w:val="0"/>
        <w:outlineLvl w:val="0"/>
        <w:rPr>
          <w:rFonts w:ascii="楷体" w:hAnsi="楷体" w:eastAsia="楷体"/>
          <w:sz w:val="24"/>
        </w:rPr>
      </w:pPr>
      <w:r>
        <w:rPr>
          <w:rFonts w:hint="eastAsia" w:ascii="楷体" w:hAnsi="楷体" w:eastAsia="楷体"/>
          <w:sz w:val="24"/>
        </w:rPr>
        <w:t>2.1 维修</w:t>
      </w:r>
      <w:r>
        <w:rPr>
          <w:rFonts w:hint="eastAsia" w:ascii="楷体" w:hAnsi="楷体" w:eastAsia="楷体"/>
          <w:sz w:val="24"/>
          <w:lang w:eastAsia="zh-CN"/>
        </w:rPr>
        <w:t>保养</w:t>
      </w:r>
      <w:r>
        <w:rPr>
          <w:rFonts w:hint="eastAsia" w:ascii="楷体" w:hAnsi="楷体" w:eastAsia="楷体"/>
          <w:sz w:val="24"/>
        </w:rPr>
        <w:t>范围</w:t>
      </w:r>
    </w:p>
    <w:p w14:paraId="63ED7770">
      <w:pPr>
        <w:pStyle w:val="10"/>
        <w:numPr>
          <w:ilvl w:val="0"/>
          <w:numId w:val="0"/>
        </w:numPr>
        <w:spacing w:line="220" w:lineRule="atLeast"/>
        <w:rPr>
          <w:rFonts w:hint="eastAsia" w:ascii="楷体" w:hAnsi="楷体" w:eastAsia="楷体" w:cs="Times New Roman"/>
          <w:kern w:val="2"/>
          <w:sz w:val="24"/>
          <w:szCs w:val="22"/>
          <w:lang w:val="en-US" w:eastAsia="zh-CN" w:bidi="ar-SA"/>
        </w:rPr>
      </w:pPr>
      <w:r>
        <w:rPr>
          <w:rFonts w:hint="eastAsia" w:ascii="楷体" w:hAnsi="楷体" w:eastAsia="楷体" w:cs="Times New Roman"/>
          <w:kern w:val="2"/>
          <w:sz w:val="24"/>
          <w:szCs w:val="22"/>
          <w:lang w:val="en-US" w:eastAsia="zh-CN" w:bidi="ar-SA"/>
        </w:rPr>
        <w:t>山东泰东实业有限公司厂区（含分公司、子公司）</w:t>
      </w:r>
    </w:p>
    <w:tbl>
      <w:tblPr>
        <w:tblStyle w:val="6"/>
        <w:tblW w:w="9671" w:type="dxa"/>
        <w:jc w:val="center"/>
        <w:tblLayout w:type="fixed"/>
        <w:tblCellMar>
          <w:top w:w="0" w:type="dxa"/>
          <w:left w:w="108" w:type="dxa"/>
          <w:bottom w:w="0" w:type="dxa"/>
          <w:right w:w="108" w:type="dxa"/>
        </w:tblCellMar>
      </w:tblPr>
      <w:tblGrid>
        <w:gridCol w:w="507"/>
        <w:gridCol w:w="952"/>
        <w:gridCol w:w="1623"/>
        <w:gridCol w:w="793"/>
        <w:gridCol w:w="978"/>
        <w:gridCol w:w="2595"/>
        <w:gridCol w:w="1008"/>
        <w:gridCol w:w="1215"/>
      </w:tblGrid>
      <w:tr w14:paraId="03AA638E">
        <w:tblPrEx>
          <w:tblCellMar>
            <w:top w:w="0" w:type="dxa"/>
            <w:left w:w="108" w:type="dxa"/>
            <w:bottom w:w="0" w:type="dxa"/>
            <w:right w:w="108" w:type="dxa"/>
          </w:tblCellMar>
        </w:tblPrEx>
        <w:trPr>
          <w:trHeight w:val="434"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019DA461">
            <w:pPr>
              <w:rPr>
                <w:rFonts w:ascii="楷体" w:hAnsi="楷体" w:eastAsia="楷体" w:cs="宋体"/>
                <w:b/>
                <w:sz w:val="24"/>
                <w:szCs w:val="24"/>
              </w:rPr>
            </w:pPr>
            <w:r>
              <w:rPr>
                <w:rFonts w:hint="eastAsia" w:ascii="楷体" w:hAnsi="楷体" w:eastAsia="楷体" w:cs="宋体"/>
                <w:b/>
                <w:sz w:val="24"/>
                <w:szCs w:val="24"/>
              </w:rPr>
              <w:t>序号</w:t>
            </w:r>
          </w:p>
        </w:tc>
        <w:tc>
          <w:tcPr>
            <w:tcW w:w="952" w:type="dxa"/>
            <w:tcBorders>
              <w:top w:val="single" w:color="auto" w:sz="4" w:space="0"/>
              <w:left w:val="nil"/>
              <w:bottom w:val="single" w:color="auto" w:sz="4" w:space="0"/>
              <w:right w:val="single" w:color="auto" w:sz="4" w:space="0"/>
            </w:tcBorders>
            <w:shd w:val="clear" w:color="auto" w:fill="auto"/>
            <w:vAlign w:val="center"/>
          </w:tcPr>
          <w:p w14:paraId="0EB7F4E3">
            <w:pPr>
              <w:rPr>
                <w:rFonts w:ascii="楷体" w:hAnsi="楷体" w:eastAsia="楷体" w:cs="宋体"/>
                <w:b/>
                <w:sz w:val="24"/>
                <w:szCs w:val="24"/>
              </w:rPr>
            </w:pPr>
            <w:r>
              <w:rPr>
                <w:rFonts w:hint="eastAsia" w:ascii="楷体" w:hAnsi="楷体" w:eastAsia="楷体" w:cs="宋体"/>
                <w:b/>
                <w:sz w:val="24"/>
                <w:szCs w:val="24"/>
              </w:rPr>
              <w:t>区域</w:t>
            </w:r>
          </w:p>
        </w:tc>
        <w:tc>
          <w:tcPr>
            <w:tcW w:w="1623" w:type="dxa"/>
            <w:tcBorders>
              <w:top w:val="single" w:color="auto" w:sz="4" w:space="0"/>
              <w:left w:val="nil"/>
              <w:bottom w:val="single" w:color="auto" w:sz="4" w:space="0"/>
              <w:right w:val="single" w:color="auto" w:sz="4" w:space="0"/>
            </w:tcBorders>
            <w:shd w:val="clear" w:color="auto" w:fill="auto"/>
            <w:vAlign w:val="center"/>
          </w:tcPr>
          <w:p w14:paraId="10491796">
            <w:pPr>
              <w:rPr>
                <w:rFonts w:hint="eastAsia" w:ascii="楷体" w:hAnsi="楷体" w:eastAsia="楷体" w:cs="宋体"/>
                <w:b/>
                <w:sz w:val="24"/>
                <w:szCs w:val="24"/>
                <w:lang w:eastAsia="zh-CN"/>
              </w:rPr>
            </w:pPr>
            <w:r>
              <w:rPr>
                <w:rFonts w:hint="eastAsia" w:ascii="楷体" w:hAnsi="楷体" w:eastAsia="楷体" w:cs="宋体"/>
                <w:b/>
                <w:sz w:val="24"/>
                <w:szCs w:val="24"/>
              </w:rPr>
              <w:t>起重机</w:t>
            </w:r>
            <w:r>
              <w:rPr>
                <w:rFonts w:hint="eastAsia" w:ascii="楷体" w:hAnsi="楷体" w:eastAsia="楷体" w:cs="宋体"/>
                <w:b/>
                <w:sz w:val="24"/>
                <w:szCs w:val="24"/>
                <w:lang w:eastAsia="zh-CN"/>
              </w:rPr>
              <w:t>型号</w:t>
            </w:r>
          </w:p>
        </w:tc>
        <w:tc>
          <w:tcPr>
            <w:tcW w:w="793" w:type="dxa"/>
            <w:tcBorders>
              <w:top w:val="single" w:color="auto" w:sz="4" w:space="0"/>
              <w:left w:val="nil"/>
              <w:bottom w:val="single" w:color="auto" w:sz="4" w:space="0"/>
              <w:right w:val="single" w:color="auto" w:sz="4" w:space="0"/>
            </w:tcBorders>
            <w:shd w:val="clear" w:color="auto" w:fill="auto"/>
            <w:vAlign w:val="center"/>
          </w:tcPr>
          <w:p w14:paraId="68F212FB">
            <w:pPr>
              <w:rPr>
                <w:rFonts w:ascii="楷体" w:hAnsi="楷体" w:eastAsia="楷体" w:cs="宋体"/>
                <w:b/>
                <w:sz w:val="24"/>
                <w:szCs w:val="24"/>
              </w:rPr>
            </w:pPr>
            <w:r>
              <w:rPr>
                <w:rFonts w:hint="eastAsia" w:ascii="楷体" w:hAnsi="楷体" w:eastAsia="楷体" w:cs="宋体"/>
                <w:b/>
                <w:sz w:val="24"/>
                <w:szCs w:val="24"/>
              </w:rPr>
              <w:t>工作级别</w:t>
            </w:r>
          </w:p>
        </w:tc>
        <w:tc>
          <w:tcPr>
            <w:tcW w:w="978" w:type="dxa"/>
            <w:tcBorders>
              <w:top w:val="single" w:color="auto" w:sz="4" w:space="0"/>
              <w:left w:val="nil"/>
              <w:bottom w:val="single" w:color="auto" w:sz="4" w:space="0"/>
              <w:right w:val="single" w:color="auto" w:sz="4" w:space="0"/>
            </w:tcBorders>
            <w:shd w:val="clear" w:color="auto" w:fill="auto"/>
            <w:vAlign w:val="center"/>
          </w:tcPr>
          <w:p w14:paraId="1C6F0C07">
            <w:pPr>
              <w:rPr>
                <w:rFonts w:ascii="楷体" w:hAnsi="楷体" w:eastAsia="楷体" w:cs="宋体"/>
                <w:b/>
                <w:sz w:val="24"/>
                <w:szCs w:val="24"/>
              </w:rPr>
            </w:pPr>
            <w:r>
              <w:rPr>
                <w:rFonts w:hint="eastAsia" w:ascii="楷体" w:hAnsi="楷体" w:eastAsia="楷体" w:cs="宋体"/>
                <w:b/>
                <w:sz w:val="24"/>
                <w:szCs w:val="24"/>
              </w:rPr>
              <w:t>数量（台）</w:t>
            </w:r>
          </w:p>
        </w:tc>
        <w:tc>
          <w:tcPr>
            <w:tcW w:w="2595" w:type="dxa"/>
            <w:tcBorders>
              <w:top w:val="single" w:color="auto" w:sz="4" w:space="0"/>
              <w:left w:val="nil"/>
              <w:bottom w:val="single" w:color="auto" w:sz="4" w:space="0"/>
              <w:right w:val="single" w:color="auto" w:sz="4" w:space="0"/>
            </w:tcBorders>
            <w:shd w:val="clear" w:color="auto" w:fill="auto"/>
            <w:vAlign w:val="center"/>
          </w:tcPr>
          <w:p w14:paraId="3FFFB267">
            <w:pPr>
              <w:rPr>
                <w:rFonts w:ascii="楷体" w:hAnsi="楷体" w:eastAsia="楷体" w:cs="宋体"/>
                <w:b/>
                <w:sz w:val="24"/>
                <w:szCs w:val="24"/>
              </w:rPr>
            </w:pPr>
            <w:r>
              <w:rPr>
                <w:rFonts w:hint="eastAsia" w:ascii="楷体" w:hAnsi="楷体" w:eastAsia="楷体" w:cs="宋体"/>
                <w:b/>
                <w:sz w:val="24"/>
                <w:szCs w:val="24"/>
              </w:rPr>
              <w:t>主要用途</w:t>
            </w:r>
          </w:p>
        </w:tc>
        <w:tc>
          <w:tcPr>
            <w:tcW w:w="1008" w:type="dxa"/>
            <w:tcBorders>
              <w:top w:val="single" w:color="auto" w:sz="4" w:space="0"/>
              <w:left w:val="nil"/>
              <w:bottom w:val="single" w:color="auto" w:sz="4" w:space="0"/>
              <w:right w:val="single" w:color="auto" w:sz="4" w:space="0"/>
            </w:tcBorders>
            <w:shd w:val="clear" w:color="auto" w:fill="auto"/>
            <w:vAlign w:val="center"/>
          </w:tcPr>
          <w:p w14:paraId="1FB6C379">
            <w:pPr>
              <w:rPr>
                <w:rFonts w:ascii="楷体" w:hAnsi="楷体" w:eastAsia="楷体" w:cs="宋体"/>
                <w:b/>
                <w:sz w:val="24"/>
                <w:szCs w:val="24"/>
              </w:rPr>
            </w:pPr>
            <w:r>
              <w:rPr>
                <w:rFonts w:hint="eastAsia" w:ascii="楷体" w:hAnsi="楷体" w:eastAsia="楷体" w:cs="宋体"/>
                <w:b/>
                <w:sz w:val="24"/>
                <w:szCs w:val="24"/>
              </w:rPr>
              <w:t>设计制造厂</w:t>
            </w:r>
          </w:p>
        </w:tc>
        <w:tc>
          <w:tcPr>
            <w:tcW w:w="1215" w:type="dxa"/>
            <w:tcBorders>
              <w:top w:val="single" w:color="auto" w:sz="4" w:space="0"/>
              <w:left w:val="nil"/>
              <w:bottom w:val="single" w:color="auto" w:sz="4" w:space="0"/>
              <w:right w:val="single" w:color="auto" w:sz="4" w:space="0"/>
            </w:tcBorders>
            <w:shd w:val="clear" w:color="auto" w:fill="auto"/>
            <w:vAlign w:val="center"/>
          </w:tcPr>
          <w:p w14:paraId="06DE0082">
            <w:pPr>
              <w:rPr>
                <w:rFonts w:ascii="楷体" w:hAnsi="楷体" w:eastAsia="楷体" w:cs="宋体"/>
                <w:b/>
                <w:sz w:val="24"/>
                <w:szCs w:val="24"/>
              </w:rPr>
            </w:pPr>
            <w:r>
              <w:rPr>
                <w:rFonts w:hint="eastAsia" w:ascii="楷体" w:hAnsi="楷体" w:eastAsia="楷体" w:cs="宋体"/>
                <w:b/>
                <w:sz w:val="24"/>
                <w:szCs w:val="24"/>
              </w:rPr>
              <w:t>备注</w:t>
            </w:r>
          </w:p>
        </w:tc>
      </w:tr>
      <w:tr w14:paraId="1D0C93CB">
        <w:tblPrEx>
          <w:tblCellMar>
            <w:top w:w="0" w:type="dxa"/>
            <w:left w:w="108" w:type="dxa"/>
            <w:bottom w:w="0" w:type="dxa"/>
            <w:right w:w="108" w:type="dxa"/>
          </w:tblCellMar>
        </w:tblPrEx>
        <w:trPr>
          <w:trHeight w:val="3866"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44875ACC">
            <w:pPr>
              <w:rPr>
                <w:rFonts w:ascii="楷体" w:hAnsi="楷体" w:eastAsia="楷体" w:cs="宋体"/>
                <w:sz w:val="24"/>
                <w:szCs w:val="24"/>
              </w:rPr>
            </w:pPr>
            <w:r>
              <w:rPr>
                <w:rFonts w:hint="eastAsia" w:ascii="楷体" w:hAnsi="楷体" w:eastAsia="楷体" w:cs="宋体"/>
                <w:sz w:val="24"/>
                <w:szCs w:val="24"/>
              </w:rPr>
              <w:t>1</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404E43">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日照</w:t>
            </w:r>
            <w:r>
              <w:rPr>
                <w:rFonts w:hint="eastAsia" w:ascii="楷体" w:hAnsi="楷体" w:eastAsia="楷体" w:cs="宋体"/>
                <w:sz w:val="24"/>
                <w:szCs w:val="24"/>
              </w:rPr>
              <w:t>泰东</w:t>
            </w:r>
            <w:r>
              <w:rPr>
                <w:rFonts w:hint="eastAsia" w:ascii="楷体" w:hAnsi="楷体" w:eastAsia="楷体" w:cs="宋体"/>
                <w:sz w:val="24"/>
                <w:szCs w:val="24"/>
                <w:lang w:eastAsia="zh-CN"/>
              </w:rPr>
              <w:t>环保</w:t>
            </w:r>
            <w:r>
              <w:rPr>
                <w:rFonts w:hint="eastAsia" w:ascii="楷体" w:hAnsi="楷体" w:eastAsia="楷体" w:cs="宋体"/>
                <w:sz w:val="24"/>
                <w:szCs w:val="24"/>
              </w:rPr>
              <w:t>公司</w:t>
            </w:r>
            <w:r>
              <w:rPr>
                <w:rFonts w:hint="eastAsia" w:ascii="楷体" w:hAnsi="楷体" w:eastAsia="楷体" w:cs="宋体"/>
                <w:sz w:val="24"/>
                <w:szCs w:val="24"/>
                <w:lang w:val="en-US" w:eastAsia="zh-CN"/>
              </w:rPr>
              <w:t>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5A1673D1">
            <w:pPr>
              <w:rPr>
                <w:rFonts w:ascii="楷体" w:hAnsi="楷体" w:eastAsia="楷体" w:cs="宋体"/>
                <w:sz w:val="24"/>
                <w:szCs w:val="24"/>
              </w:rPr>
            </w:pPr>
            <w:r>
              <w:rPr>
                <w:rFonts w:hint="eastAsia" w:ascii="楷体" w:hAnsi="楷体" w:eastAsia="楷体" w:cs="宋体"/>
                <w:sz w:val="24"/>
                <w:szCs w:val="24"/>
              </w:rPr>
              <w:t>双梁起重机</w:t>
            </w:r>
          </w:p>
          <w:p w14:paraId="3A4C3C1C">
            <w:pPr>
              <w:rPr>
                <w:rFonts w:hint="eastAsia" w:ascii="楷体" w:hAnsi="楷体" w:eastAsia="楷体" w:cs="宋体"/>
                <w:sz w:val="24"/>
                <w:szCs w:val="24"/>
              </w:rPr>
            </w:pPr>
            <w:r>
              <w:rPr>
                <w:rFonts w:hint="eastAsia" w:ascii="楷体" w:hAnsi="楷体" w:eastAsia="楷体" w:cs="宋体"/>
                <w:sz w:val="24"/>
                <w:szCs w:val="24"/>
              </w:rPr>
              <w:t xml:space="preserve">QD120T </w:t>
            </w:r>
            <w:r>
              <w:rPr>
                <w:rFonts w:hint="eastAsia" w:ascii="楷体" w:hAnsi="楷体" w:eastAsia="楷体" w:cs="宋体"/>
                <w:sz w:val="24"/>
                <w:szCs w:val="24"/>
                <w:lang w:val="en-US" w:eastAsia="zh-CN"/>
              </w:rPr>
              <w:t>YZ</w:t>
            </w:r>
            <w:r>
              <w:rPr>
                <w:rFonts w:hint="eastAsia" w:ascii="楷体" w:hAnsi="楷体" w:eastAsia="楷体" w:cs="宋体"/>
                <w:sz w:val="24"/>
                <w:szCs w:val="24"/>
              </w:rPr>
              <w:t>100T</w:t>
            </w:r>
          </w:p>
          <w:p w14:paraId="70488C36">
            <w:pPr>
              <w:rPr>
                <w:rFonts w:hint="eastAsia" w:ascii="楷体" w:hAnsi="楷体" w:eastAsia="楷体" w:cs="宋体"/>
                <w:sz w:val="24"/>
                <w:szCs w:val="24"/>
              </w:rPr>
            </w:pPr>
            <w:r>
              <w:rPr>
                <w:rFonts w:hint="eastAsia" w:ascii="楷体" w:hAnsi="楷体" w:eastAsia="楷体" w:cs="宋体"/>
                <w:sz w:val="24"/>
                <w:szCs w:val="24"/>
              </w:rPr>
              <w:t>QD12</w:t>
            </w:r>
            <w:r>
              <w:rPr>
                <w:rFonts w:hint="eastAsia" w:ascii="楷体" w:hAnsi="楷体" w:eastAsia="楷体" w:cs="宋体"/>
                <w:sz w:val="24"/>
                <w:szCs w:val="24"/>
                <w:lang w:val="en-US" w:eastAsia="zh-CN"/>
              </w:rPr>
              <w:t>5</w:t>
            </w:r>
            <w:r>
              <w:rPr>
                <w:rFonts w:hint="eastAsia" w:ascii="楷体" w:hAnsi="楷体" w:eastAsia="楷体" w:cs="宋体"/>
                <w:sz w:val="24"/>
                <w:szCs w:val="24"/>
              </w:rPr>
              <w:t xml:space="preserve">T </w:t>
            </w:r>
            <w:r>
              <w:rPr>
                <w:rFonts w:hint="eastAsia" w:ascii="楷体" w:hAnsi="楷体" w:eastAsia="楷体" w:cs="宋体"/>
                <w:sz w:val="24"/>
                <w:szCs w:val="24"/>
                <w:lang w:val="en-US" w:eastAsia="zh-CN"/>
              </w:rPr>
              <w:t>YZ</w:t>
            </w:r>
            <w:r>
              <w:rPr>
                <w:rFonts w:hint="eastAsia" w:ascii="楷体" w:hAnsi="楷体" w:eastAsia="楷体" w:cs="宋体"/>
                <w:sz w:val="24"/>
                <w:szCs w:val="24"/>
              </w:rPr>
              <w:t>1</w:t>
            </w:r>
            <w:r>
              <w:rPr>
                <w:rFonts w:hint="eastAsia" w:ascii="楷体" w:hAnsi="楷体" w:eastAsia="楷体" w:cs="宋体"/>
                <w:sz w:val="24"/>
                <w:szCs w:val="24"/>
                <w:lang w:val="en-US" w:eastAsia="zh-CN"/>
              </w:rPr>
              <w:t>25</w:t>
            </w:r>
            <w:r>
              <w:rPr>
                <w:rFonts w:hint="eastAsia" w:ascii="楷体" w:hAnsi="楷体" w:eastAsia="楷体" w:cs="宋体"/>
                <w:sz w:val="24"/>
                <w:szCs w:val="24"/>
              </w:rPr>
              <w:t xml:space="preserve">T LX2T QD20T QZ5T QZ16T QZ5T </w:t>
            </w:r>
          </w:p>
          <w:p w14:paraId="39042365">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QZ5T  QD80T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3E13B8C6">
            <w:pPr>
              <w:rPr>
                <w:rFonts w:hint="default" w:ascii="楷体" w:hAnsi="楷体" w:eastAsia="楷体" w:cs="宋体"/>
                <w:sz w:val="24"/>
                <w:szCs w:val="24"/>
                <w:lang w:val="en-US" w:eastAsia="zh-CN"/>
              </w:rPr>
            </w:pPr>
            <w:r>
              <w:rPr>
                <w:rFonts w:hint="eastAsia" w:ascii="楷体" w:hAnsi="楷体" w:eastAsia="楷体" w:cs="宋体"/>
                <w:sz w:val="24"/>
                <w:szCs w:val="24"/>
              </w:rPr>
              <w:t>A</w:t>
            </w:r>
            <w:r>
              <w:rPr>
                <w:rFonts w:hint="eastAsia" w:ascii="楷体" w:hAnsi="楷体" w:eastAsia="楷体" w:cs="宋体"/>
                <w:sz w:val="24"/>
                <w:szCs w:val="24"/>
                <w:lang w:val="en-US" w:eastAsia="zh-CN"/>
              </w:rPr>
              <w:t>3. A5、A7</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6DF4507">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17</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14:paraId="52A29568">
            <w:pPr>
              <w:rPr>
                <w:rFonts w:ascii="楷体" w:hAnsi="楷体" w:eastAsia="楷体" w:cs="宋体"/>
                <w:sz w:val="24"/>
                <w:szCs w:val="24"/>
              </w:rPr>
            </w:pPr>
            <w:r>
              <w:rPr>
                <w:rFonts w:hint="eastAsia" w:ascii="楷体" w:hAnsi="楷体" w:eastAsia="楷体" w:cs="宋体"/>
                <w:sz w:val="24"/>
                <w:szCs w:val="24"/>
              </w:rPr>
              <w:t>生产用起重机，主要吊运渣罐、中间罐</w:t>
            </w:r>
          </w:p>
          <w:p w14:paraId="3FF724A5">
            <w:pPr>
              <w:rPr>
                <w:rFonts w:ascii="楷体" w:hAnsi="楷体" w:eastAsia="楷体" w:cs="宋体"/>
                <w:sz w:val="24"/>
                <w:szCs w:val="24"/>
              </w:rPr>
            </w:pPr>
            <w:r>
              <w:rPr>
                <w:rFonts w:hint="eastAsia" w:ascii="楷体" w:hAnsi="楷体" w:eastAsia="楷体" w:cs="宋体"/>
                <w:sz w:val="24"/>
                <w:szCs w:val="24"/>
              </w:rPr>
              <w:t>尾渣等（24小时工作制）</w:t>
            </w:r>
          </w:p>
          <w:p w14:paraId="7F4F9A08">
            <w:pPr>
              <w:rPr>
                <w:rFonts w:ascii="楷体" w:hAnsi="楷体" w:eastAsia="楷体" w:cs="宋体"/>
                <w:sz w:val="24"/>
                <w:szCs w:val="24"/>
              </w:rPr>
            </w:pP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6C3C6F5F">
            <w:pPr>
              <w:rPr>
                <w:rFonts w:ascii="楷体" w:hAnsi="楷体" w:eastAsia="楷体" w:cs="宋体"/>
                <w:sz w:val="24"/>
                <w:szCs w:val="24"/>
              </w:rPr>
            </w:pPr>
            <w:r>
              <w:rPr>
                <w:rFonts w:hint="eastAsia" w:ascii="楷体" w:hAnsi="楷体" w:eastAsia="楷体" w:cs="宋体"/>
                <w:sz w:val="24"/>
                <w:szCs w:val="24"/>
              </w:rPr>
              <w:t>泰力起重</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F01D5C">
            <w:pPr>
              <w:jc w:val="center"/>
              <w:rPr>
                <w:rFonts w:hint="eastAsia" w:ascii="楷体" w:hAnsi="楷体" w:eastAsia="楷体" w:cs="宋体"/>
                <w:sz w:val="24"/>
                <w:szCs w:val="24"/>
                <w:lang w:eastAsia="zh-CN"/>
              </w:rPr>
            </w:pPr>
          </w:p>
        </w:tc>
      </w:tr>
      <w:tr w14:paraId="32C3C708">
        <w:tblPrEx>
          <w:tblCellMar>
            <w:top w:w="0" w:type="dxa"/>
            <w:left w:w="108" w:type="dxa"/>
            <w:bottom w:w="0" w:type="dxa"/>
            <w:right w:w="108" w:type="dxa"/>
          </w:tblCellMar>
        </w:tblPrEx>
        <w:trPr>
          <w:trHeight w:val="1950"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6A0E8E27">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2</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B30FC0">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资源公司院内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77E71E0D">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双梁起重机</w:t>
            </w:r>
          </w:p>
          <w:p w14:paraId="385BCF81">
            <w:pPr>
              <w:rPr>
                <w:rFonts w:hint="default" w:ascii="楷体" w:hAnsi="楷体" w:eastAsia="楷体" w:cs="宋体"/>
                <w:sz w:val="24"/>
                <w:szCs w:val="24"/>
                <w:lang w:val="en-US" w:eastAsia="zh-CN"/>
              </w:rPr>
            </w:pPr>
            <w:r>
              <w:rPr>
                <w:rFonts w:hint="eastAsia" w:ascii="楷体" w:hAnsi="楷体" w:eastAsia="楷体" w:cs="宋体"/>
                <w:sz w:val="24"/>
                <w:szCs w:val="24"/>
              </w:rPr>
              <w:t>QD</w:t>
            </w:r>
            <w:r>
              <w:rPr>
                <w:rFonts w:hint="eastAsia" w:ascii="楷体" w:hAnsi="楷体" w:eastAsia="楷体" w:cs="宋体"/>
                <w:sz w:val="24"/>
                <w:szCs w:val="24"/>
                <w:lang w:val="en-US" w:eastAsia="zh-CN"/>
              </w:rPr>
              <w:t>80/30、</w:t>
            </w:r>
            <w:r>
              <w:rPr>
                <w:rFonts w:hint="eastAsia" w:ascii="楷体" w:hAnsi="楷体" w:eastAsia="楷体" w:cs="宋体"/>
                <w:sz w:val="24"/>
                <w:szCs w:val="24"/>
              </w:rPr>
              <w:t>QD</w:t>
            </w:r>
            <w:r>
              <w:rPr>
                <w:rFonts w:hint="eastAsia" w:ascii="楷体" w:hAnsi="楷体" w:eastAsia="楷体" w:cs="宋体"/>
                <w:sz w:val="24"/>
                <w:szCs w:val="24"/>
                <w:lang w:val="en-US" w:eastAsia="zh-CN"/>
              </w:rPr>
              <w:t>100/40、YZ80/40、QD60/30、QD80/40、QZ25T(带抓斗）单梁吊葫芦16T、10T、5T、2T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3B0F4FD">
            <w:pPr>
              <w:rPr>
                <w:rFonts w:hint="eastAsia" w:ascii="楷体" w:hAnsi="楷体" w:eastAsia="楷体" w:cs="宋体"/>
                <w:sz w:val="24"/>
                <w:szCs w:val="24"/>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5B5E3D3">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23</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14:paraId="1861873F">
            <w:pPr>
              <w:rPr>
                <w:rFonts w:ascii="楷体" w:hAnsi="楷体" w:eastAsia="楷体" w:cs="宋体"/>
                <w:sz w:val="24"/>
                <w:szCs w:val="24"/>
              </w:rPr>
            </w:pPr>
            <w:r>
              <w:rPr>
                <w:rFonts w:hint="eastAsia" w:ascii="楷体" w:hAnsi="楷体" w:eastAsia="楷体" w:cs="宋体"/>
                <w:sz w:val="24"/>
                <w:szCs w:val="24"/>
              </w:rPr>
              <w:t>生产用起重机，主要吊运渣罐、中间罐</w:t>
            </w:r>
          </w:p>
          <w:p w14:paraId="2DC60DB3">
            <w:pPr>
              <w:rPr>
                <w:rFonts w:ascii="楷体" w:hAnsi="楷体" w:eastAsia="楷体" w:cs="宋体"/>
                <w:sz w:val="24"/>
                <w:szCs w:val="24"/>
              </w:rPr>
            </w:pPr>
            <w:r>
              <w:rPr>
                <w:rFonts w:hint="eastAsia" w:ascii="楷体" w:hAnsi="楷体" w:eastAsia="楷体" w:cs="宋体"/>
                <w:sz w:val="24"/>
                <w:szCs w:val="24"/>
              </w:rPr>
              <w:t>尾渣等（24小时工作制）</w:t>
            </w:r>
          </w:p>
          <w:p w14:paraId="731D2FB9">
            <w:pPr>
              <w:rPr>
                <w:rFonts w:ascii="楷体" w:hAnsi="楷体" w:eastAsia="楷体" w:cs="宋体"/>
                <w:sz w:val="24"/>
                <w:szCs w:val="24"/>
              </w:rPr>
            </w:pP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3886711C">
            <w:pPr>
              <w:rPr>
                <w:rFonts w:hint="eastAsia" w:ascii="楷体" w:hAnsi="楷体" w:eastAsia="楷体" w:cs="宋体"/>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D6C0F5A">
            <w:pPr>
              <w:jc w:val="center"/>
              <w:rPr>
                <w:rFonts w:hint="eastAsia" w:ascii="楷体" w:hAnsi="楷体" w:eastAsia="楷体" w:cs="宋体"/>
                <w:sz w:val="24"/>
                <w:szCs w:val="24"/>
                <w:lang w:eastAsia="zh-CN"/>
              </w:rPr>
            </w:pPr>
          </w:p>
        </w:tc>
      </w:tr>
      <w:tr w14:paraId="4E97B1E1">
        <w:tblPrEx>
          <w:tblCellMar>
            <w:top w:w="0" w:type="dxa"/>
            <w:left w:w="108" w:type="dxa"/>
            <w:bottom w:w="0" w:type="dxa"/>
            <w:right w:w="108" w:type="dxa"/>
          </w:tblCellMar>
        </w:tblPrEx>
        <w:trPr>
          <w:trHeight w:val="1950"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06AA689C">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3</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CBA3549">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双山公司院内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62A8EEA4">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双梁起重机YZ80/40、QD16/3.2、单梁吊葫芦32T、10T、5T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16C99E09">
            <w:pPr>
              <w:rPr>
                <w:rFonts w:hint="eastAsia" w:ascii="楷体" w:hAnsi="楷体" w:eastAsia="楷体" w:cs="宋体"/>
                <w:sz w:val="24"/>
                <w:szCs w:val="24"/>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9F851C0">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16</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14:paraId="1CED7D85">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YZ80/40冶金吊用于翻盆作业</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F96F00A">
            <w:pPr>
              <w:rPr>
                <w:rFonts w:hint="eastAsia" w:ascii="楷体" w:hAnsi="楷体" w:eastAsia="楷体" w:cs="宋体"/>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CDDBCCB">
            <w:pPr>
              <w:jc w:val="center"/>
              <w:rPr>
                <w:rFonts w:hint="eastAsia" w:ascii="楷体" w:hAnsi="楷体" w:eastAsia="楷体" w:cs="宋体"/>
                <w:sz w:val="24"/>
                <w:szCs w:val="24"/>
                <w:lang w:eastAsia="zh-CN"/>
              </w:rPr>
            </w:pPr>
          </w:p>
        </w:tc>
      </w:tr>
    </w:tbl>
    <w:p w14:paraId="49B9D466">
      <w:pPr>
        <w:adjustRightInd w:val="0"/>
        <w:snapToGrid w:val="0"/>
        <w:outlineLvl w:val="0"/>
        <w:rPr>
          <w:rFonts w:hint="eastAsia" w:ascii="楷体" w:hAnsi="楷体" w:eastAsia="楷体"/>
          <w:sz w:val="24"/>
        </w:rPr>
      </w:pPr>
    </w:p>
    <w:p w14:paraId="2E327370">
      <w:pPr>
        <w:adjustRightInd w:val="0"/>
        <w:snapToGrid w:val="0"/>
        <w:outlineLvl w:val="0"/>
        <w:rPr>
          <w:rFonts w:ascii="楷体" w:hAnsi="楷体" w:eastAsia="楷体"/>
          <w:sz w:val="24"/>
        </w:rPr>
      </w:pPr>
      <w:r>
        <w:rPr>
          <w:rFonts w:hint="eastAsia" w:ascii="楷体" w:hAnsi="楷体" w:eastAsia="楷体"/>
          <w:sz w:val="24"/>
        </w:rPr>
        <w:t>2.2</w:t>
      </w:r>
      <w:bookmarkStart w:id="1" w:name="_Toc424636090"/>
      <w:bookmarkStart w:id="2" w:name="_Toc423510388"/>
      <w:r>
        <w:rPr>
          <w:rFonts w:hint="eastAsia" w:ascii="楷体" w:hAnsi="楷体" w:eastAsia="楷体"/>
          <w:sz w:val="24"/>
        </w:rPr>
        <w:t xml:space="preserve"> 工作界面</w:t>
      </w:r>
      <w:bookmarkEnd w:id="1"/>
      <w:bookmarkEnd w:id="2"/>
      <w:r>
        <w:rPr>
          <w:rFonts w:hint="eastAsia" w:ascii="楷体" w:hAnsi="楷体" w:eastAsia="楷体"/>
          <w:sz w:val="24"/>
        </w:rPr>
        <w:t>分工</w:t>
      </w:r>
    </w:p>
    <w:p w14:paraId="6154AE88">
      <w:pPr>
        <w:adjustRightInd w:val="0"/>
        <w:snapToGrid w:val="0"/>
        <w:ind w:firstLine="240" w:firstLineChars="100"/>
        <w:outlineLvl w:val="0"/>
        <w:rPr>
          <w:rFonts w:ascii="楷体" w:hAnsi="楷体" w:eastAsia="楷体"/>
          <w:sz w:val="24"/>
        </w:rPr>
      </w:pPr>
      <w:r>
        <w:rPr>
          <w:rFonts w:hint="eastAsia" w:ascii="楷体" w:hAnsi="楷体" w:eastAsia="楷体"/>
          <w:sz w:val="24"/>
        </w:rPr>
        <w:t>2.2.1乙方负责工作范围</w:t>
      </w:r>
    </w:p>
    <w:p w14:paraId="726A5123">
      <w:pPr>
        <w:adjustRightInd w:val="0"/>
        <w:snapToGrid w:val="0"/>
        <w:ind w:firstLine="480" w:firstLineChars="200"/>
        <w:rPr>
          <w:rFonts w:hint="eastAsia" w:ascii="楷体" w:hAnsi="楷体" w:eastAsia="楷体" w:cs="Times New Roman"/>
          <w:color w:val="000000"/>
          <w:sz w:val="24"/>
          <w:lang w:val="en-US" w:eastAsia="zh-CN"/>
        </w:rPr>
      </w:pPr>
      <w:r>
        <w:rPr>
          <w:rFonts w:hint="eastAsia" w:ascii="楷体" w:hAnsi="楷体" w:eastAsia="楷体"/>
          <w:color w:val="000000"/>
          <w:sz w:val="24"/>
          <w:lang w:val="en-US" w:eastAsia="zh-CN"/>
        </w:rPr>
        <w:t>1）</w:t>
      </w:r>
      <w:r>
        <w:rPr>
          <w:rFonts w:hint="eastAsia" w:ascii="楷体" w:hAnsi="楷体" w:eastAsia="楷体"/>
          <w:sz w:val="24"/>
        </w:rPr>
        <w:t>乙方</w:t>
      </w:r>
      <w:r>
        <w:rPr>
          <w:rFonts w:hint="eastAsia" w:ascii="楷体" w:hAnsi="楷体" w:eastAsia="楷体"/>
          <w:color w:val="000000"/>
          <w:sz w:val="24"/>
        </w:rPr>
        <w:t>负责起重机械全部机械设备、电气自动化及仪表设备日常运行期间的点巡检、维护和检修</w:t>
      </w:r>
      <w:r>
        <w:rPr>
          <w:rFonts w:hint="eastAsia" w:ascii="楷体" w:hAnsi="楷体" w:eastAsia="楷体"/>
          <w:color w:val="000000"/>
          <w:sz w:val="24"/>
          <w:lang w:eastAsia="zh-CN"/>
        </w:rPr>
        <w:t>，负责</w:t>
      </w:r>
      <w:r>
        <w:rPr>
          <w:rFonts w:hint="eastAsia" w:ascii="楷体" w:hAnsi="楷体" w:eastAsia="楷体" w:cs="Times New Roman"/>
          <w:color w:val="000000"/>
          <w:sz w:val="24"/>
          <w:lang w:eastAsia="zh-CN"/>
        </w:rPr>
        <w:t>行车相关</w:t>
      </w:r>
      <w:r>
        <w:rPr>
          <w:rFonts w:hint="eastAsia" w:ascii="楷体" w:hAnsi="楷体" w:eastAsia="楷体" w:cs="Times New Roman"/>
          <w:color w:val="000000"/>
          <w:sz w:val="24"/>
          <w:lang w:val="en-US" w:eastAsia="zh-CN"/>
        </w:rPr>
        <w:t>电气设备日常清灰吹扫，负责起重机横梁、导轨灰尘清扫（视现场环境情况每半年或一年清扫一次）保证设备正常运行。</w:t>
      </w:r>
    </w:p>
    <w:p w14:paraId="0EE60F3B">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起重机械的全部机械设备：车体、驾驶室、卷筒、制动器、钢丝绳、减速机、联轴器、吊钩组、龙门钩（不包含离线修复）、小车道轨、缓冲器、润滑元件、安全防护、相关附属设备等。</w:t>
      </w:r>
    </w:p>
    <w:p w14:paraId="656CC942">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起重机械本体的全部电气自动化及仪表设备：包括起重机本体开关柜及电缆、保护柜、电阻、联动台、遥控器、电机、照明、相关附属设备等。</w:t>
      </w:r>
    </w:p>
    <w:p w14:paraId="11B9E570">
      <w:pPr>
        <w:jc w:val="center"/>
        <w:rPr>
          <w:rFonts w:ascii="楷体" w:hAnsi="楷体" w:eastAsia="楷体"/>
          <w:color w:val="000000"/>
          <w:sz w:val="24"/>
        </w:rPr>
      </w:pPr>
      <w:r>
        <w:rPr>
          <w:rFonts w:hint="eastAsia" w:ascii="楷体" w:hAnsi="楷体" w:eastAsia="楷体"/>
          <w:color w:val="000000"/>
          <w:sz w:val="24"/>
        </w:rPr>
        <w:t xml:space="preserve">    </w:t>
      </w:r>
      <w:r>
        <w:rPr>
          <w:rFonts w:hint="eastAsia" w:ascii="楷体" w:hAnsi="楷体" w:eastAsia="楷体"/>
          <w:color w:val="000000"/>
          <w:sz w:val="24"/>
          <w:lang w:val="en-US" w:eastAsia="zh-CN"/>
        </w:rPr>
        <w:t>2</w:t>
      </w:r>
      <w:r>
        <w:rPr>
          <w:rFonts w:hint="eastAsia" w:ascii="楷体" w:hAnsi="楷体" w:eastAsia="楷体"/>
          <w:color w:val="000000"/>
          <w:sz w:val="24"/>
        </w:rPr>
        <w:t>）乙方负责管理安排足够的具备相应资格的操作及维修人员，进行起重机械操作、点巡</w:t>
      </w:r>
    </w:p>
    <w:p w14:paraId="5F88D80F">
      <w:pPr>
        <w:adjustRightInd w:val="0"/>
        <w:snapToGrid w:val="0"/>
        <w:rPr>
          <w:rFonts w:ascii="楷体" w:hAnsi="楷体" w:eastAsia="楷体"/>
          <w:color w:val="000000"/>
          <w:sz w:val="24"/>
        </w:rPr>
      </w:pPr>
      <w:r>
        <w:rPr>
          <w:rFonts w:hint="eastAsia" w:ascii="楷体" w:hAnsi="楷体" w:eastAsia="楷体"/>
          <w:color w:val="000000"/>
          <w:sz w:val="24"/>
        </w:rPr>
        <w:t>检、维修工作，以满足甲方的工作需要。人员的职业健康、安全、培训、取证、费用等由乙方负责。</w:t>
      </w:r>
    </w:p>
    <w:p w14:paraId="0C0BC38C">
      <w:pPr>
        <w:adjustRightInd w:val="0"/>
        <w:snapToGrid w:val="0"/>
        <w:ind w:firstLine="480" w:firstLineChars="200"/>
        <w:rPr>
          <w:rFonts w:hint="eastAsia" w:ascii="楷体" w:hAnsi="楷体" w:eastAsia="楷体"/>
          <w:color w:val="000000"/>
          <w:sz w:val="24"/>
          <w:lang w:eastAsia="zh-CN"/>
        </w:rPr>
      </w:pPr>
      <w:r>
        <w:rPr>
          <w:rFonts w:hint="eastAsia" w:ascii="楷体" w:hAnsi="楷体" w:eastAsia="楷体"/>
          <w:color w:val="000000"/>
          <w:sz w:val="24"/>
          <w:lang w:val="en-US" w:eastAsia="zh-CN"/>
        </w:rPr>
        <w:t>4</w:t>
      </w:r>
      <w:r>
        <w:rPr>
          <w:rFonts w:hint="eastAsia" w:ascii="楷体" w:hAnsi="楷体" w:eastAsia="楷体"/>
          <w:color w:val="000000"/>
          <w:sz w:val="24"/>
        </w:rPr>
        <w:t>）乙方</w:t>
      </w:r>
      <w:r>
        <w:rPr>
          <w:rFonts w:hint="eastAsia" w:ascii="楷体" w:hAnsi="楷体" w:eastAsia="楷体"/>
          <w:color w:val="000000"/>
          <w:sz w:val="24"/>
          <w:lang w:eastAsia="zh-CN"/>
        </w:rPr>
        <w:t>根据行车运行情况，</w:t>
      </w:r>
      <w:r>
        <w:rPr>
          <w:rFonts w:hint="eastAsia" w:ascii="楷体" w:hAnsi="楷体" w:eastAsia="楷体"/>
          <w:color w:val="000000"/>
          <w:sz w:val="24"/>
        </w:rPr>
        <w:t>负责提报备件</w:t>
      </w:r>
      <w:r>
        <w:rPr>
          <w:rFonts w:hint="eastAsia" w:ascii="楷体" w:hAnsi="楷体" w:eastAsia="楷体"/>
          <w:color w:val="000000"/>
          <w:sz w:val="24"/>
          <w:lang w:eastAsia="zh-CN"/>
        </w:rPr>
        <w:t>采购明细</w:t>
      </w:r>
      <w:r>
        <w:rPr>
          <w:rFonts w:hint="eastAsia" w:ascii="楷体" w:hAnsi="楷体" w:eastAsia="楷体"/>
          <w:color w:val="000000"/>
          <w:sz w:val="24"/>
        </w:rPr>
        <w:t>、主材计划、检修计划，按照甲方的要求进行工作，服从甲方的管理和安排</w:t>
      </w:r>
      <w:r>
        <w:rPr>
          <w:rFonts w:hint="eastAsia" w:ascii="楷体" w:hAnsi="楷体" w:eastAsia="楷体"/>
          <w:color w:val="000000"/>
          <w:sz w:val="24"/>
          <w:lang w:eastAsia="zh-CN"/>
        </w:rPr>
        <w:t>，</w:t>
      </w:r>
      <w:r>
        <w:rPr>
          <w:rFonts w:hint="eastAsia" w:ascii="楷体" w:hAnsi="楷体" w:eastAsia="楷体"/>
          <w:color w:val="FF0000"/>
          <w:sz w:val="24"/>
          <w:u w:val="single"/>
          <w:lang w:eastAsia="zh-CN"/>
        </w:rPr>
        <w:t>备件采购由甲方负责</w:t>
      </w:r>
      <w:r>
        <w:rPr>
          <w:rFonts w:hint="eastAsia" w:ascii="楷体" w:hAnsi="楷体" w:eastAsia="楷体"/>
          <w:color w:val="000000"/>
          <w:sz w:val="24"/>
          <w:lang w:eastAsia="zh-CN"/>
        </w:rPr>
        <w:t>。</w:t>
      </w:r>
    </w:p>
    <w:p w14:paraId="2B0198D4">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lang w:val="en-US" w:eastAsia="zh-CN"/>
        </w:rPr>
        <w:t>5</w:t>
      </w:r>
      <w:r>
        <w:rPr>
          <w:rFonts w:hint="eastAsia" w:ascii="楷体" w:hAnsi="楷体" w:eastAsia="楷体"/>
          <w:color w:val="000000"/>
          <w:sz w:val="24"/>
        </w:rPr>
        <w:t>）乙方负责设备运行点巡检、维护保养、检修所需各类辅材的供货，费用含在总价内。</w:t>
      </w:r>
    </w:p>
    <w:p w14:paraId="5E8E55E3">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lang w:val="en-US" w:eastAsia="zh-CN"/>
        </w:rPr>
        <w:t>6</w:t>
      </w:r>
      <w:r>
        <w:rPr>
          <w:rFonts w:hint="eastAsia" w:ascii="楷体" w:hAnsi="楷体" w:eastAsia="楷体"/>
          <w:color w:val="000000"/>
          <w:sz w:val="24"/>
        </w:rPr>
        <w:t>）保证起重机械定期检测达标（法检），配合甲方做好起重机械的定期检测。</w:t>
      </w:r>
    </w:p>
    <w:p w14:paraId="29D56F4F">
      <w:pPr>
        <w:adjustRightInd w:val="0"/>
        <w:snapToGrid w:val="0"/>
        <w:ind w:firstLine="240" w:firstLineChars="100"/>
        <w:outlineLvl w:val="0"/>
        <w:rPr>
          <w:rFonts w:ascii="楷体" w:hAnsi="楷体" w:eastAsia="楷体"/>
          <w:sz w:val="24"/>
        </w:rPr>
      </w:pPr>
      <w:r>
        <w:rPr>
          <w:rFonts w:hint="eastAsia" w:ascii="楷体" w:hAnsi="楷体" w:eastAsia="楷体"/>
          <w:sz w:val="24"/>
        </w:rPr>
        <w:t>2.2.2 甲方负责工作范围</w:t>
      </w:r>
    </w:p>
    <w:p w14:paraId="165BAF34">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1</w:t>
      </w:r>
      <w:r>
        <w:rPr>
          <w:rFonts w:hint="eastAsia" w:ascii="楷体" w:hAnsi="楷体" w:eastAsia="楷体"/>
          <w:sz w:val="24"/>
        </w:rPr>
        <w:t>）甲方负责起重机械的运行管理。按照甲方有关制度及规定，对乙方操作、点巡检、维护、检修工作实施</w:t>
      </w:r>
      <w:r>
        <w:rPr>
          <w:rFonts w:hint="eastAsia" w:ascii="楷体" w:hAnsi="楷体" w:eastAsia="楷体"/>
          <w:color w:val="000000"/>
          <w:sz w:val="24"/>
        </w:rPr>
        <w:t>跟踪管理，监督检查验收。</w:t>
      </w:r>
    </w:p>
    <w:p w14:paraId="1101206A">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2）甲方负责检修计划的落实，召开各类检修协调会议，对乙方提报的检修计划及方案进行审核，</w:t>
      </w:r>
      <w:r>
        <w:rPr>
          <w:rFonts w:hint="eastAsia" w:ascii="楷体" w:hAnsi="楷体" w:eastAsia="楷体"/>
          <w:sz w:val="24"/>
        </w:rPr>
        <w:t>根据实际情况</w:t>
      </w:r>
      <w:r>
        <w:rPr>
          <w:rFonts w:hint="eastAsia" w:ascii="楷体" w:hAnsi="楷体" w:eastAsia="楷体"/>
          <w:color w:val="000000"/>
          <w:sz w:val="24"/>
        </w:rPr>
        <w:t>形成最终检修计划和方案。</w:t>
      </w:r>
    </w:p>
    <w:p w14:paraId="76563990">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3）</w:t>
      </w:r>
      <w:r>
        <w:rPr>
          <w:rFonts w:hint="eastAsia" w:ascii="楷体" w:hAnsi="楷体" w:eastAsia="楷体"/>
          <w:sz w:val="24"/>
        </w:rPr>
        <w:t>甲方负责提供检修所需的图纸和资料。</w:t>
      </w:r>
    </w:p>
    <w:p w14:paraId="51582BD2">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4）</w:t>
      </w:r>
      <w:r>
        <w:rPr>
          <w:rFonts w:hint="eastAsia" w:ascii="楷体" w:hAnsi="楷体" w:eastAsia="楷体"/>
          <w:sz w:val="24"/>
        </w:rPr>
        <w:t>甲方负责提供现场可供使用的水、电、气等能源介质。</w:t>
      </w:r>
    </w:p>
    <w:p w14:paraId="73B44BD0">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5）</w:t>
      </w:r>
      <w:r>
        <w:rPr>
          <w:rFonts w:hint="eastAsia" w:ascii="楷体" w:hAnsi="楷体" w:eastAsia="楷体"/>
          <w:sz w:val="24"/>
        </w:rPr>
        <w:t>甲方负责对乙方的工作业绩进行考核考评。甲方每月对乙方的操作及维修质量和完成情况进行汇总，并提出考核意见。</w:t>
      </w:r>
    </w:p>
    <w:p w14:paraId="11E17C2D">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6）甲方负责起重机械运行所需的备品备件和所有主材</w:t>
      </w:r>
      <w:r>
        <w:rPr>
          <w:rFonts w:hint="eastAsia" w:ascii="楷体" w:hAnsi="楷体" w:eastAsia="楷体"/>
          <w:color w:val="000000"/>
          <w:sz w:val="24"/>
          <w:lang w:eastAsia="zh-CN"/>
        </w:rPr>
        <w:t>、辅材</w:t>
      </w:r>
      <w:r>
        <w:rPr>
          <w:rFonts w:hint="eastAsia" w:ascii="楷体" w:hAnsi="楷体" w:eastAsia="楷体"/>
          <w:color w:val="000000"/>
          <w:sz w:val="24"/>
        </w:rPr>
        <w:t>的供应。</w:t>
      </w:r>
    </w:p>
    <w:p w14:paraId="1C51347E">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7）甲方负责起重机械空调的维修工作。</w:t>
      </w:r>
    </w:p>
    <w:p w14:paraId="098C5A0C">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 xml:space="preserve">8) </w:t>
      </w:r>
      <w:r>
        <w:rPr>
          <w:rFonts w:hint="eastAsia" w:ascii="楷体" w:hAnsi="楷体" w:eastAsia="楷体"/>
          <w:sz w:val="24"/>
        </w:rPr>
        <w:t>甲方负责起重机</w:t>
      </w:r>
      <w:r>
        <w:rPr>
          <w:rFonts w:hint="eastAsia" w:ascii="楷体" w:hAnsi="楷体" w:eastAsia="楷体"/>
          <w:color w:val="000000"/>
          <w:sz w:val="24"/>
        </w:rPr>
        <w:t>械</w:t>
      </w:r>
      <w:r>
        <w:rPr>
          <w:rFonts w:hint="eastAsia" w:ascii="楷体" w:hAnsi="楷体" w:eastAsia="楷体"/>
          <w:sz w:val="24"/>
        </w:rPr>
        <w:t>的年修工作。</w:t>
      </w:r>
    </w:p>
    <w:p w14:paraId="474F6D89">
      <w:pPr>
        <w:adjustRightInd w:val="0"/>
        <w:snapToGrid w:val="0"/>
        <w:ind w:firstLine="480" w:firstLineChars="200"/>
        <w:rPr>
          <w:rFonts w:ascii="楷体" w:hAnsi="楷体" w:eastAsia="楷体"/>
          <w:sz w:val="24"/>
        </w:rPr>
      </w:pPr>
      <w:r>
        <w:rPr>
          <w:rFonts w:hint="eastAsia" w:ascii="楷体" w:hAnsi="楷体" w:eastAsia="楷体"/>
          <w:sz w:val="24"/>
        </w:rPr>
        <w:t>9）甲方负责发起起重机</w:t>
      </w:r>
      <w:r>
        <w:rPr>
          <w:rFonts w:hint="eastAsia" w:ascii="楷体" w:hAnsi="楷体" w:eastAsia="楷体"/>
          <w:color w:val="000000"/>
          <w:sz w:val="24"/>
        </w:rPr>
        <w:t>械</w:t>
      </w:r>
      <w:r>
        <w:rPr>
          <w:rFonts w:hint="eastAsia" w:ascii="楷体" w:hAnsi="楷体" w:eastAsia="楷体"/>
          <w:sz w:val="24"/>
        </w:rPr>
        <w:t>的年度定期检验，费用由甲方承担。</w:t>
      </w:r>
    </w:p>
    <w:p w14:paraId="6FCA3580">
      <w:pPr>
        <w:adjustRightInd w:val="0"/>
        <w:snapToGrid w:val="0"/>
        <w:ind w:firstLine="480" w:firstLineChars="200"/>
        <w:rPr>
          <w:rFonts w:ascii="楷体" w:hAnsi="楷体" w:eastAsia="楷体"/>
          <w:sz w:val="24"/>
        </w:rPr>
      </w:pPr>
      <w:r>
        <w:rPr>
          <w:rFonts w:hint="eastAsia" w:ascii="楷体" w:hAnsi="楷体" w:eastAsia="楷体"/>
          <w:sz w:val="24"/>
        </w:rPr>
        <w:t>10）甲方负责提供检修用吊车、叉车等施工车辆。</w:t>
      </w:r>
    </w:p>
    <w:p w14:paraId="70546966">
      <w:pPr>
        <w:adjustRightInd w:val="0"/>
        <w:snapToGrid w:val="0"/>
        <w:ind w:firstLine="480" w:firstLineChars="200"/>
        <w:rPr>
          <w:rFonts w:ascii="楷体" w:hAnsi="楷体" w:eastAsia="楷体"/>
          <w:sz w:val="24"/>
        </w:rPr>
      </w:pPr>
      <w:r>
        <w:rPr>
          <w:rFonts w:hint="eastAsia" w:ascii="楷体" w:hAnsi="楷体" w:eastAsia="楷体"/>
          <w:sz w:val="24"/>
        </w:rPr>
        <w:t>11）甲方负责需出厂加工制造、维修或外购的天车备件的供应。</w:t>
      </w:r>
    </w:p>
    <w:p w14:paraId="686A9751">
      <w:pPr>
        <w:adjustRightInd w:val="0"/>
        <w:snapToGrid w:val="0"/>
        <w:ind w:firstLine="480" w:firstLineChars="200"/>
        <w:rPr>
          <w:rFonts w:hint="eastAsia" w:ascii="楷体" w:hAnsi="楷体" w:eastAsia="楷体"/>
          <w:sz w:val="24"/>
        </w:rPr>
      </w:pPr>
      <w:r>
        <w:rPr>
          <w:rFonts w:hint="eastAsia" w:ascii="楷体" w:hAnsi="楷体" w:eastAsia="楷体"/>
          <w:sz w:val="24"/>
        </w:rPr>
        <w:t>12）协助乙方办理相关的进出厂手续。</w:t>
      </w:r>
    </w:p>
    <w:p w14:paraId="76432A22">
      <w:pPr>
        <w:adjustRightInd w:val="0"/>
        <w:snapToGrid w:val="0"/>
        <w:ind w:firstLine="480" w:firstLineChars="200"/>
        <w:rPr>
          <w:rFonts w:hint="default" w:ascii="楷体" w:hAnsi="楷体" w:eastAsia="楷体"/>
          <w:sz w:val="24"/>
          <w:lang w:val="en-US" w:eastAsia="zh-CN"/>
        </w:rPr>
      </w:pPr>
      <w:r>
        <w:rPr>
          <w:rFonts w:hint="eastAsia" w:ascii="楷体" w:hAnsi="楷体" w:eastAsia="楷体"/>
          <w:sz w:val="24"/>
          <w:lang w:val="en-US" w:eastAsia="zh-CN"/>
        </w:rPr>
        <w:t>13）甲方负责保证乙方维修时起重机停止运行，保证乙方工作时有毒气体不超标。</w:t>
      </w:r>
    </w:p>
    <w:p w14:paraId="35A6D15A">
      <w:pPr>
        <w:adjustRightInd w:val="0"/>
        <w:snapToGrid w:val="0"/>
        <w:ind w:firstLine="240" w:firstLineChars="100"/>
        <w:outlineLvl w:val="0"/>
        <w:rPr>
          <w:rFonts w:ascii="楷体" w:hAnsi="楷体" w:eastAsia="楷体"/>
          <w:sz w:val="24"/>
        </w:rPr>
      </w:pPr>
      <w:r>
        <w:rPr>
          <w:rFonts w:hint="eastAsia" w:ascii="楷体" w:hAnsi="楷体" w:eastAsia="楷体"/>
          <w:sz w:val="24"/>
        </w:rPr>
        <w:t>2.2.3 主材及辅材范围划分</w:t>
      </w:r>
    </w:p>
    <w:p w14:paraId="1765CA8D">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主材主要包括：钢材、钢丝绳、密封件、液压油、润滑油（脂）、管件、电气元件、电缆电线、灯具、电缆桥架、阀门、法兰、螺栓、螺母、管道</w:t>
      </w:r>
      <w:r>
        <w:rPr>
          <w:rFonts w:hint="eastAsia" w:ascii="楷体" w:hAnsi="楷体" w:eastAsia="楷体"/>
          <w:color w:val="000000"/>
          <w:sz w:val="24"/>
          <w:lang w:eastAsia="zh-CN"/>
        </w:rPr>
        <w:t>、</w:t>
      </w:r>
      <w:r>
        <w:rPr>
          <w:rFonts w:hint="eastAsia" w:ascii="楷体" w:hAnsi="楷体" w:eastAsia="楷体"/>
          <w:color w:val="000000"/>
          <w:sz w:val="24"/>
        </w:rPr>
        <w:t>氧气</w:t>
      </w:r>
      <w:r>
        <w:rPr>
          <w:rFonts w:hint="eastAsia" w:ascii="楷体" w:hAnsi="楷体" w:eastAsia="楷体"/>
          <w:color w:val="000000"/>
          <w:sz w:val="24"/>
          <w:lang w:eastAsia="zh-CN"/>
        </w:rPr>
        <w:t>甲烷</w:t>
      </w:r>
      <w:r>
        <w:rPr>
          <w:rFonts w:hint="eastAsia" w:ascii="楷体" w:hAnsi="楷体" w:eastAsia="楷体" w:cs="宋体"/>
          <w:kern w:val="0"/>
          <w:szCs w:val="21"/>
        </w:rPr>
        <w:t>乙炔</w:t>
      </w:r>
      <w:r>
        <w:rPr>
          <w:rFonts w:hint="eastAsia" w:ascii="楷体" w:hAnsi="楷体" w:eastAsia="楷体" w:cs="宋体"/>
          <w:kern w:val="0"/>
          <w:szCs w:val="21"/>
          <w:lang w:eastAsia="zh-CN"/>
        </w:rPr>
        <w:t>、报警仪</w:t>
      </w:r>
      <w:r>
        <w:rPr>
          <w:rFonts w:hint="eastAsia" w:ascii="楷体" w:hAnsi="楷体" w:eastAsia="楷体"/>
          <w:color w:val="000000"/>
          <w:sz w:val="24"/>
        </w:rPr>
        <w:t>等。</w:t>
      </w:r>
    </w:p>
    <w:p w14:paraId="5F62A762">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辅材主要具体表2。</w:t>
      </w:r>
    </w:p>
    <w:p w14:paraId="1EE0109A">
      <w:pPr>
        <w:adjustRightInd w:val="0"/>
        <w:snapToGrid w:val="0"/>
        <w:jc w:val="center"/>
        <w:rPr>
          <w:rFonts w:ascii="楷体" w:hAnsi="楷体" w:eastAsia="楷体"/>
          <w:color w:val="000000"/>
          <w:sz w:val="24"/>
        </w:rPr>
      </w:pPr>
      <w:r>
        <w:rPr>
          <w:rFonts w:hint="eastAsia" w:ascii="楷体" w:hAnsi="楷体" w:eastAsia="楷体"/>
          <w:color w:val="000000"/>
          <w:sz w:val="24"/>
        </w:rPr>
        <w:t>表2-辅材表</w:t>
      </w:r>
    </w:p>
    <w:tbl>
      <w:tblPr>
        <w:tblStyle w:val="6"/>
        <w:tblW w:w="8679" w:type="dxa"/>
        <w:jc w:val="center"/>
        <w:tblLayout w:type="fixed"/>
        <w:tblCellMar>
          <w:top w:w="0" w:type="dxa"/>
          <w:left w:w="108" w:type="dxa"/>
          <w:bottom w:w="0" w:type="dxa"/>
          <w:right w:w="108" w:type="dxa"/>
        </w:tblCellMar>
      </w:tblPr>
      <w:tblGrid>
        <w:gridCol w:w="843"/>
        <w:gridCol w:w="2560"/>
        <w:gridCol w:w="5276"/>
      </w:tblGrid>
      <w:tr w14:paraId="4211488B">
        <w:tblPrEx>
          <w:tblCellMar>
            <w:top w:w="0" w:type="dxa"/>
            <w:left w:w="108" w:type="dxa"/>
            <w:bottom w:w="0" w:type="dxa"/>
            <w:right w:w="108" w:type="dxa"/>
          </w:tblCellMar>
        </w:tblPrEx>
        <w:trPr>
          <w:trHeight w:val="41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14:paraId="16A999D9">
            <w:pPr>
              <w:widowControl/>
              <w:jc w:val="center"/>
              <w:rPr>
                <w:rFonts w:ascii="楷体" w:hAnsi="楷体" w:eastAsia="楷体" w:cs="宋体"/>
                <w:kern w:val="0"/>
                <w:szCs w:val="21"/>
              </w:rPr>
            </w:pPr>
            <w:r>
              <w:rPr>
                <w:rFonts w:hint="eastAsia" w:ascii="楷体" w:hAnsi="楷体" w:eastAsia="楷体" w:cs="宋体"/>
                <w:kern w:val="0"/>
                <w:szCs w:val="21"/>
              </w:rPr>
              <w:t>序号</w:t>
            </w:r>
          </w:p>
        </w:tc>
        <w:tc>
          <w:tcPr>
            <w:tcW w:w="2560" w:type="dxa"/>
            <w:tcBorders>
              <w:top w:val="single" w:color="auto" w:sz="4" w:space="0"/>
              <w:left w:val="nil"/>
              <w:bottom w:val="single" w:color="auto" w:sz="4" w:space="0"/>
              <w:right w:val="single" w:color="auto" w:sz="4" w:space="0"/>
            </w:tcBorders>
            <w:vAlign w:val="center"/>
          </w:tcPr>
          <w:p w14:paraId="5EDAC5AF">
            <w:pPr>
              <w:widowControl/>
              <w:jc w:val="left"/>
              <w:rPr>
                <w:rFonts w:ascii="楷体" w:hAnsi="楷体" w:eastAsia="楷体" w:cs="宋体"/>
                <w:kern w:val="0"/>
                <w:szCs w:val="21"/>
              </w:rPr>
            </w:pPr>
            <w:r>
              <w:rPr>
                <w:rFonts w:hint="eastAsia" w:ascii="楷体" w:hAnsi="楷体" w:eastAsia="楷体" w:cs="宋体"/>
                <w:kern w:val="0"/>
                <w:szCs w:val="21"/>
              </w:rPr>
              <w:t>名称/大类</w:t>
            </w:r>
          </w:p>
        </w:tc>
        <w:tc>
          <w:tcPr>
            <w:tcW w:w="5276" w:type="dxa"/>
            <w:tcBorders>
              <w:top w:val="single" w:color="auto" w:sz="4" w:space="0"/>
              <w:left w:val="nil"/>
              <w:bottom w:val="single" w:color="auto" w:sz="4" w:space="0"/>
              <w:right w:val="single" w:color="auto" w:sz="4" w:space="0"/>
            </w:tcBorders>
            <w:vAlign w:val="center"/>
          </w:tcPr>
          <w:p w14:paraId="2055AE0E">
            <w:pPr>
              <w:widowControl/>
              <w:jc w:val="center"/>
              <w:rPr>
                <w:rFonts w:ascii="楷体" w:hAnsi="楷体" w:eastAsia="楷体" w:cs="宋体"/>
                <w:kern w:val="0"/>
                <w:szCs w:val="21"/>
              </w:rPr>
            </w:pPr>
            <w:r>
              <w:rPr>
                <w:rFonts w:hint="eastAsia" w:ascii="楷体" w:hAnsi="楷体" w:eastAsia="楷体" w:cs="宋体"/>
                <w:kern w:val="0"/>
                <w:szCs w:val="21"/>
              </w:rPr>
              <w:t>物资名称</w:t>
            </w:r>
          </w:p>
        </w:tc>
      </w:tr>
      <w:tr w14:paraId="21755C84">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150674E9">
            <w:pPr>
              <w:widowControl/>
              <w:jc w:val="center"/>
              <w:rPr>
                <w:rFonts w:ascii="楷体" w:hAnsi="楷体" w:eastAsia="楷体" w:cs="宋体"/>
                <w:kern w:val="0"/>
                <w:szCs w:val="21"/>
              </w:rPr>
            </w:pPr>
            <w:r>
              <w:rPr>
                <w:rFonts w:hint="eastAsia" w:ascii="楷体" w:hAnsi="楷体" w:eastAsia="楷体" w:cs="宋体"/>
                <w:kern w:val="0"/>
                <w:szCs w:val="21"/>
              </w:rPr>
              <w:t>1</w:t>
            </w:r>
          </w:p>
        </w:tc>
        <w:tc>
          <w:tcPr>
            <w:tcW w:w="2560" w:type="dxa"/>
            <w:tcBorders>
              <w:top w:val="nil"/>
              <w:left w:val="nil"/>
              <w:bottom w:val="single" w:color="auto" w:sz="4" w:space="0"/>
              <w:right w:val="single" w:color="auto" w:sz="4" w:space="0"/>
            </w:tcBorders>
            <w:vAlign w:val="center"/>
          </w:tcPr>
          <w:p w14:paraId="3B7B4A3A">
            <w:pPr>
              <w:widowControl/>
              <w:jc w:val="left"/>
              <w:rPr>
                <w:rFonts w:ascii="楷体" w:hAnsi="楷体" w:eastAsia="楷体" w:cs="宋体"/>
                <w:kern w:val="0"/>
                <w:szCs w:val="21"/>
              </w:rPr>
            </w:pPr>
            <w:r>
              <w:rPr>
                <w:rFonts w:hint="eastAsia" w:ascii="楷体" w:hAnsi="楷体" w:eastAsia="楷体" w:cs="宋体"/>
                <w:kern w:val="0"/>
                <w:szCs w:val="21"/>
              </w:rPr>
              <w:t>氧气胶管</w:t>
            </w:r>
          </w:p>
        </w:tc>
        <w:tc>
          <w:tcPr>
            <w:tcW w:w="5276" w:type="dxa"/>
            <w:tcBorders>
              <w:top w:val="nil"/>
              <w:left w:val="nil"/>
              <w:bottom w:val="single" w:color="auto" w:sz="4" w:space="0"/>
              <w:right w:val="single" w:color="auto" w:sz="4" w:space="0"/>
            </w:tcBorders>
            <w:vAlign w:val="center"/>
          </w:tcPr>
          <w:p w14:paraId="57965005">
            <w:pPr>
              <w:rPr>
                <w:rFonts w:ascii="楷体" w:hAnsi="楷体" w:eastAsia="楷体" w:cs="宋体"/>
                <w:szCs w:val="21"/>
              </w:rPr>
            </w:pPr>
            <w:r>
              <w:rPr>
                <w:rFonts w:hint="eastAsia" w:ascii="楷体" w:hAnsi="楷体" w:eastAsia="楷体" w:cs="宋体"/>
                <w:szCs w:val="21"/>
              </w:rPr>
              <w:t>检修用</w:t>
            </w:r>
            <w:r>
              <w:rPr>
                <w:rFonts w:hint="eastAsia" w:ascii="楷体" w:hAnsi="楷体" w:eastAsia="楷体" w:cs="宋体"/>
                <w:kern w:val="0"/>
                <w:szCs w:val="21"/>
              </w:rPr>
              <w:t>氧气胶管、</w:t>
            </w:r>
          </w:p>
        </w:tc>
      </w:tr>
      <w:tr w14:paraId="355D79F7">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561DFFD4">
            <w:pPr>
              <w:widowControl/>
              <w:jc w:val="center"/>
              <w:rPr>
                <w:rFonts w:ascii="楷体" w:hAnsi="楷体" w:eastAsia="楷体" w:cs="宋体"/>
                <w:kern w:val="0"/>
                <w:szCs w:val="21"/>
              </w:rPr>
            </w:pPr>
            <w:r>
              <w:rPr>
                <w:rFonts w:hint="eastAsia" w:ascii="楷体" w:hAnsi="楷体" w:eastAsia="楷体" w:cs="宋体"/>
                <w:kern w:val="0"/>
                <w:szCs w:val="21"/>
              </w:rPr>
              <w:t>2</w:t>
            </w:r>
          </w:p>
        </w:tc>
        <w:tc>
          <w:tcPr>
            <w:tcW w:w="2560" w:type="dxa"/>
            <w:tcBorders>
              <w:top w:val="nil"/>
              <w:left w:val="nil"/>
              <w:bottom w:val="single" w:color="auto" w:sz="4" w:space="0"/>
              <w:right w:val="single" w:color="auto" w:sz="4" w:space="0"/>
            </w:tcBorders>
            <w:vAlign w:val="center"/>
          </w:tcPr>
          <w:p w14:paraId="3AB20C06">
            <w:pPr>
              <w:widowControl/>
              <w:jc w:val="left"/>
              <w:rPr>
                <w:rFonts w:ascii="楷体" w:hAnsi="楷体" w:eastAsia="楷体" w:cs="宋体"/>
                <w:kern w:val="0"/>
                <w:szCs w:val="21"/>
              </w:rPr>
            </w:pPr>
            <w:r>
              <w:rPr>
                <w:rFonts w:hint="eastAsia" w:ascii="楷体" w:hAnsi="楷体" w:eastAsia="楷体" w:cs="宋体"/>
                <w:kern w:val="0"/>
                <w:szCs w:val="21"/>
              </w:rPr>
              <w:t>乙炔胶管</w:t>
            </w:r>
          </w:p>
        </w:tc>
        <w:tc>
          <w:tcPr>
            <w:tcW w:w="5276" w:type="dxa"/>
            <w:tcBorders>
              <w:top w:val="nil"/>
              <w:left w:val="nil"/>
              <w:bottom w:val="single" w:color="auto" w:sz="4" w:space="0"/>
              <w:right w:val="single" w:color="auto" w:sz="4" w:space="0"/>
            </w:tcBorders>
            <w:vAlign w:val="center"/>
          </w:tcPr>
          <w:p w14:paraId="5971ADE5">
            <w:pPr>
              <w:rPr>
                <w:rFonts w:ascii="楷体" w:hAnsi="楷体" w:eastAsia="楷体" w:cs="宋体"/>
                <w:szCs w:val="21"/>
              </w:rPr>
            </w:pPr>
            <w:r>
              <w:rPr>
                <w:rFonts w:hint="eastAsia" w:ascii="楷体" w:hAnsi="楷体" w:eastAsia="楷体" w:cs="宋体"/>
                <w:szCs w:val="21"/>
              </w:rPr>
              <w:t>检修用乙炔胶管</w:t>
            </w:r>
          </w:p>
        </w:tc>
      </w:tr>
      <w:tr w14:paraId="4F5CB2DB">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321393DF">
            <w:pPr>
              <w:widowControl/>
              <w:jc w:val="center"/>
              <w:rPr>
                <w:rFonts w:ascii="楷体" w:hAnsi="楷体" w:eastAsia="楷体" w:cs="宋体"/>
                <w:kern w:val="0"/>
                <w:szCs w:val="21"/>
              </w:rPr>
            </w:pPr>
            <w:r>
              <w:rPr>
                <w:rFonts w:hint="eastAsia" w:ascii="楷体" w:hAnsi="楷体" w:eastAsia="楷体" w:cs="宋体"/>
                <w:kern w:val="0"/>
                <w:szCs w:val="21"/>
              </w:rPr>
              <w:t>3</w:t>
            </w:r>
          </w:p>
        </w:tc>
        <w:tc>
          <w:tcPr>
            <w:tcW w:w="2560" w:type="dxa"/>
            <w:tcBorders>
              <w:top w:val="nil"/>
              <w:left w:val="nil"/>
              <w:bottom w:val="single" w:color="auto" w:sz="4" w:space="0"/>
              <w:right w:val="single" w:color="auto" w:sz="4" w:space="0"/>
            </w:tcBorders>
            <w:vAlign w:val="center"/>
          </w:tcPr>
          <w:p w14:paraId="77A20573">
            <w:pPr>
              <w:widowControl/>
              <w:jc w:val="left"/>
              <w:rPr>
                <w:rFonts w:ascii="楷体" w:hAnsi="楷体" w:eastAsia="楷体" w:cs="宋体"/>
                <w:kern w:val="0"/>
                <w:szCs w:val="21"/>
              </w:rPr>
            </w:pPr>
            <w:r>
              <w:rPr>
                <w:rFonts w:hint="eastAsia" w:ascii="楷体" w:hAnsi="楷体" w:eastAsia="楷体" w:cs="宋体"/>
                <w:kern w:val="0"/>
                <w:szCs w:val="21"/>
              </w:rPr>
              <w:t>氧气表、乙炔表</w:t>
            </w:r>
          </w:p>
        </w:tc>
        <w:tc>
          <w:tcPr>
            <w:tcW w:w="5276" w:type="dxa"/>
            <w:tcBorders>
              <w:top w:val="nil"/>
              <w:left w:val="nil"/>
              <w:bottom w:val="single" w:color="auto" w:sz="4" w:space="0"/>
              <w:right w:val="single" w:color="auto" w:sz="4" w:space="0"/>
            </w:tcBorders>
            <w:vAlign w:val="center"/>
          </w:tcPr>
          <w:p w14:paraId="6FA1359F">
            <w:pPr>
              <w:rPr>
                <w:rFonts w:ascii="楷体" w:hAnsi="楷体" w:eastAsia="楷体" w:cs="宋体"/>
                <w:szCs w:val="21"/>
              </w:rPr>
            </w:pPr>
          </w:p>
        </w:tc>
      </w:tr>
      <w:tr w14:paraId="5DBA3E8B">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622A8D13">
            <w:pPr>
              <w:widowControl/>
              <w:jc w:val="center"/>
              <w:rPr>
                <w:rFonts w:ascii="楷体" w:hAnsi="楷体" w:eastAsia="楷体" w:cs="宋体"/>
                <w:kern w:val="0"/>
                <w:szCs w:val="21"/>
              </w:rPr>
            </w:pPr>
            <w:r>
              <w:rPr>
                <w:rFonts w:hint="eastAsia" w:ascii="楷体" w:hAnsi="楷体" w:eastAsia="楷体" w:cs="宋体"/>
                <w:kern w:val="0"/>
                <w:szCs w:val="21"/>
              </w:rPr>
              <w:t>4</w:t>
            </w:r>
          </w:p>
        </w:tc>
        <w:tc>
          <w:tcPr>
            <w:tcW w:w="2560" w:type="dxa"/>
            <w:tcBorders>
              <w:top w:val="nil"/>
              <w:left w:val="nil"/>
              <w:bottom w:val="single" w:color="auto" w:sz="4" w:space="0"/>
              <w:right w:val="single" w:color="auto" w:sz="4" w:space="0"/>
            </w:tcBorders>
            <w:vAlign w:val="center"/>
          </w:tcPr>
          <w:p w14:paraId="4F15E6E6">
            <w:pPr>
              <w:widowControl/>
              <w:jc w:val="left"/>
              <w:rPr>
                <w:rFonts w:ascii="楷体" w:hAnsi="楷体" w:eastAsia="楷体" w:cs="宋体"/>
                <w:kern w:val="0"/>
                <w:szCs w:val="21"/>
              </w:rPr>
            </w:pPr>
            <w:r>
              <w:rPr>
                <w:rFonts w:hint="eastAsia" w:ascii="楷体" w:hAnsi="楷体" w:eastAsia="楷体" w:cs="宋体"/>
                <w:kern w:val="0"/>
                <w:szCs w:val="21"/>
              </w:rPr>
              <w:t>焊接用品</w:t>
            </w:r>
          </w:p>
        </w:tc>
        <w:tc>
          <w:tcPr>
            <w:tcW w:w="5276" w:type="dxa"/>
            <w:tcBorders>
              <w:top w:val="nil"/>
              <w:left w:val="nil"/>
              <w:bottom w:val="single" w:color="auto" w:sz="4" w:space="0"/>
              <w:right w:val="single" w:color="auto" w:sz="4" w:space="0"/>
            </w:tcBorders>
            <w:vAlign w:val="center"/>
          </w:tcPr>
          <w:p w14:paraId="0BBF5BFB">
            <w:pPr>
              <w:rPr>
                <w:rFonts w:ascii="楷体" w:hAnsi="楷体" w:eastAsia="楷体" w:cs="宋体"/>
                <w:szCs w:val="21"/>
              </w:rPr>
            </w:pPr>
            <w:r>
              <w:rPr>
                <w:rFonts w:hint="eastAsia" w:ascii="楷体" w:hAnsi="楷体" w:eastAsia="楷体"/>
                <w:szCs w:val="21"/>
              </w:rPr>
              <w:t>电焊线、电焊镜片、电焊帽、电焊钳等</w:t>
            </w:r>
          </w:p>
        </w:tc>
      </w:tr>
      <w:tr w14:paraId="4147A5FA">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09BDE4AD">
            <w:pPr>
              <w:widowControl/>
              <w:jc w:val="center"/>
              <w:rPr>
                <w:rFonts w:ascii="楷体" w:hAnsi="楷体" w:eastAsia="楷体" w:cs="宋体"/>
                <w:kern w:val="0"/>
                <w:szCs w:val="21"/>
              </w:rPr>
            </w:pPr>
            <w:r>
              <w:rPr>
                <w:rFonts w:hint="eastAsia" w:ascii="楷体" w:hAnsi="楷体" w:eastAsia="楷体" w:cs="宋体"/>
                <w:kern w:val="0"/>
                <w:szCs w:val="21"/>
              </w:rPr>
              <w:t>5</w:t>
            </w:r>
          </w:p>
        </w:tc>
        <w:tc>
          <w:tcPr>
            <w:tcW w:w="2560" w:type="dxa"/>
            <w:tcBorders>
              <w:top w:val="nil"/>
              <w:left w:val="nil"/>
              <w:bottom w:val="single" w:color="auto" w:sz="4" w:space="0"/>
              <w:right w:val="single" w:color="auto" w:sz="4" w:space="0"/>
            </w:tcBorders>
            <w:vAlign w:val="center"/>
          </w:tcPr>
          <w:p w14:paraId="19315172">
            <w:pPr>
              <w:widowControl/>
              <w:jc w:val="left"/>
              <w:rPr>
                <w:rFonts w:ascii="楷体" w:hAnsi="楷体" w:eastAsia="楷体" w:cs="宋体"/>
                <w:kern w:val="0"/>
                <w:szCs w:val="21"/>
              </w:rPr>
            </w:pPr>
            <w:r>
              <w:rPr>
                <w:rFonts w:hint="eastAsia" w:ascii="楷体" w:hAnsi="楷体" w:eastAsia="楷体" w:cs="宋体"/>
                <w:kern w:val="0"/>
                <w:szCs w:val="21"/>
              </w:rPr>
              <w:t>吊具、机具</w:t>
            </w:r>
          </w:p>
        </w:tc>
        <w:tc>
          <w:tcPr>
            <w:tcW w:w="5276" w:type="dxa"/>
            <w:tcBorders>
              <w:top w:val="nil"/>
              <w:left w:val="nil"/>
              <w:bottom w:val="single" w:color="auto" w:sz="4" w:space="0"/>
              <w:right w:val="single" w:color="auto" w:sz="4" w:space="0"/>
            </w:tcBorders>
            <w:vAlign w:val="center"/>
          </w:tcPr>
          <w:p w14:paraId="6E94A519">
            <w:pPr>
              <w:rPr>
                <w:rFonts w:ascii="楷体" w:hAnsi="楷体" w:eastAsia="楷体" w:cs="宋体"/>
                <w:szCs w:val="21"/>
              </w:rPr>
            </w:pPr>
            <w:r>
              <w:rPr>
                <w:rFonts w:hint="eastAsia" w:ascii="楷体" w:hAnsi="楷体" w:eastAsia="楷体"/>
                <w:szCs w:val="21"/>
              </w:rPr>
              <w:t>卸扣</w:t>
            </w:r>
          </w:p>
        </w:tc>
      </w:tr>
      <w:tr w14:paraId="7F7991A5">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60C938B4">
            <w:pPr>
              <w:widowControl/>
              <w:jc w:val="center"/>
              <w:rPr>
                <w:rFonts w:ascii="楷体" w:hAnsi="楷体" w:eastAsia="楷体" w:cs="宋体"/>
                <w:kern w:val="0"/>
                <w:szCs w:val="21"/>
              </w:rPr>
            </w:pPr>
            <w:r>
              <w:rPr>
                <w:rFonts w:hint="eastAsia" w:ascii="楷体" w:hAnsi="楷体" w:eastAsia="楷体" w:cs="宋体"/>
                <w:kern w:val="0"/>
                <w:szCs w:val="21"/>
              </w:rPr>
              <w:t>6</w:t>
            </w:r>
          </w:p>
        </w:tc>
        <w:tc>
          <w:tcPr>
            <w:tcW w:w="2560" w:type="dxa"/>
            <w:tcBorders>
              <w:top w:val="nil"/>
              <w:left w:val="nil"/>
              <w:bottom w:val="single" w:color="auto" w:sz="4" w:space="0"/>
              <w:right w:val="single" w:color="auto" w:sz="4" w:space="0"/>
            </w:tcBorders>
            <w:vAlign w:val="center"/>
          </w:tcPr>
          <w:p w14:paraId="6C480755">
            <w:pPr>
              <w:widowControl/>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口罩</w:t>
            </w:r>
          </w:p>
        </w:tc>
        <w:tc>
          <w:tcPr>
            <w:tcW w:w="5276" w:type="dxa"/>
            <w:tcBorders>
              <w:top w:val="nil"/>
              <w:left w:val="nil"/>
              <w:bottom w:val="single" w:color="auto" w:sz="4" w:space="0"/>
              <w:right w:val="single" w:color="auto" w:sz="4" w:space="0"/>
            </w:tcBorders>
            <w:vAlign w:val="center"/>
          </w:tcPr>
          <w:p w14:paraId="38BC6234">
            <w:pPr>
              <w:rPr>
                <w:rFonts w:ascii="楷体" w:hAnsi="楷体" w:eastAsia="楷体" w:cs="宋体"/>
                <w:szCs w:val="21"/>
              </w:rPr>
            </w:pPr>
          </w:p>
        </w:tc>
      </w:tr>
      <w:tr w14:paraId="712C413F">
        <w:tblPrEx>
          <w:tblCellMar>
            <w:top w:w="0" w:type="dxa"/>
            <w:left w:w="108" w:type="dxa"/>
            <w:bottom w:w="0" w:type="dxa"/>
            <w:right w:w="108" w:type="dxa"/>
          </w:tblCellMar>
        </w:tblPrEx>
        <w:trPr>
          <w:trHeight w:val="469" w:hRule="atLeast"/>
          <w:jc w:val="center"/>
        </w:trPr>
        <w:tc>
          <w:tcPr>
            <w:tcW w:w="843" w:type="dxa"/>
            <w:tcBorders>
              <w:top w:val="nil"/>
              <w:left w:val="single" w:color="auto" w:sz="4" w:space="0"/>
              <w:bottom w:val="single" w:color="auto" w:sz="4" w:space="0"/>
              <w:right w:val="single" w:color="auto" w:sz="4" w:space="0"/>
            </w:tcBorders>
            <w:vAlign w:val="center"/>
          </w:tcPr>
          <w:p w14:paraId="7486549A">
            <w:pPr>
              <w:widowControl/>
              <w:jc w:val="center"/>
              <w:rPr>
                <w:rFonts w:ascii="楷体" w:hAnsi="楷体" w:eastAsia="楷体" w:cs="宋体"/>
                <w:kern w:val="0"/>
                <w:szCs w:val="21"/>
              </w:rPr>
            </w:pPr>
            <w:r>
              <w:rPr>
                <w:rFonts w:hint="eastAsia" w:ascii="楷体" w:hAnsi="楷体" w:eastAsia="楷体" w:cs="宋体"/>
                <w:kern w:val="0"/>
                <w:szCs w:val="21"/>
              </w:rPr>
              <w:t>7</w:t>
            </w:r>
          </w:p>
        </w:tc>
        <w:tc>
          <w:tcPr>
            <w:tcW w:w="2560" w:type="dxa"/>
            <w:tcBorders>
              <w:top w:val="nil"/>
              <w:left w:val="nil"/>
              <w:bottom w:val="single" w:color="auto" w:sz="4" w:space="0"/>
              <w:right w:val="single" w:color="auto" w:sz="4" w:space="0"/>
            </w:tcBorders>
            <w:vAlign w:val="center"/>
          </w:tcPr>
          <w:p w14:paraId="777FF9D1">
            <w:pPr>
              <w:widowControl/>
              <w:jc w:val="left"/>
              <w:rPr>
                <w:rFonts w:ascii="楷体" w:hAnsi="楷体" w:eastAsia="楷体" w:cs="宋体"/>
                <w:kern w:val="0"/>
                <w:szCs w:val="21"/>
              </w:rPr>
            </w:pPr>
            <w:r>
              <w:rPr>
                <w:rFonts w:hint="eastAsia" w:ascii="楷体" w:hAnsi="楷体" w:eastAsia="楷体" w:cs="宋体"/>
                <w:kern w:val="0"/>
                <w:szCs w:val="21"/>
              </w:rPr>
              <w:t>小五金类</w:t>
            </w:r>
          </w:p>
        </w:tc>
        <w:tc>
          <w:tcPr>
            <w:tcW w:w="5276" w:type="dxa"/>
            <w:tcBorders>
              <w:top w:val="nil"/>
              <w:left w:val="nil"/>
              <w:bottom w:val="single" w:color="auto" w:sz="4" w:space="0"/>
              <w:right w:val="single" w:color="auto" w:sz="4" w:space="0"/>
            </w:tcBorders>
            <w:vAlign w:val="center"/>
          </w:tcPr>
          <w:p w14:paraId="2897BE10">
            <w:pPr>
              <w:rPr>
                <w:rFonts w:ascii="楷体" w:hAnsi="楷体" w:eastAsia="楷体" w:cs="宋体"/>
                <w:szCs w:val="21"/>
              </w:rPr>
            </w:pPr>
            <w:r>
              <w:rPr>
                <w:rFonts w:hint="eastAsia" w:ascii="楷体" w:hAnsi="楷体" w:eastAsia="楷体"/>
                <w:szCs w:val="21"/>
              </w:rPr>
              <w:t>钢锯条、美工刀、美工刀片、丝锥、皮带冲、钻头、钢钉、鞋钉、钢丝刷</w:t>
            </w:r>
          </w:p>
        </w:tc>
      </w:tr>
      <w:tr w14:paraId="173A0A2A">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6843D5E4">
            <w:pPr>
              <w:widowControl/>
              <w:jc w:val="center"/>
              <w:rPr>
                <w:rFonts w:ascii="楷体" w:hAnsi="楷体" w:eastAsia="楷体" w:cs="宋体"/>
                <w:kern w:val="0"/>
                <w:szCs w:val="21"/>
              </w:rPr>
            </w:pPr>
            <w:r>
              <w:rPr>
                <w:rFonts w:hint="eastAsia" w:ascii="楷体" w:hAnsi="楷体" w:eastAsia="楷体" w:cs="宋体"/>
                <w:kern w:val="0"/>
                <w:szCs w:val="21"/>
              </w:rPr>
              <w:t>8</w:t>
            </w:r>
          </w:p>
        </w:tc>
        <w:tc>
          <w:tcPr>
            <w:tcW w:w="2560" w:type="dxa"/>
            <w:tcBorders>
              <w:top w:val="nil"/>
              <w:left w:val="nil"/>
              <w:bottom w:val="single" w:color="auto" w:sz="4" w:space="0"/>
              <w:right w:val="single" w:color="auto" w:sz="4" w:space="0"/>
            </w:tcBorders>
            <w:vAlign w:val="center"/>
          </w:tcPr>
          <w:p w14:paraId="02029E61">
            <w:pPr>
              <w:widowControl/>
              <w:jc w:val="left"/>
              <w:rPr>
                <w:rFonts w:ascii="楷体" w:hAnsi="楷体" w:eastAsia="楷体" w:cs="宋体"/>
                <w:kern w:val="0"/>
                <w:szCs w:val="21"/>
              </w:rPr>
            </w:pPr>
            <w:r>
              <w:rPr>
                <w:rFonts w:hint="eastAsia" w:ascii="楷体" w:hAnsi="楷体" w:eastAsia="楷体" w:cs="宋体"/>
                <w:kern w:val="0"/>
                <w:szCs w:val="21"/>
              </w:rPr>
              <w:t>电工日常维检消耗性材料</w:t>
            </w:r>
          </w:p>
        </w:tc>
        <w:tc>
          <w:tcPr>
            <w:tcW w:w="5276" w:type="dxa"/>
            <w:tcBorders>
              <w:top w:val="nil"/>
              <w:left w:val="nil"/>
              <w:bottom w:val="single" w:color="auto" w:sz="4" w:space="0"/>
              <w:right w:val="single" w:color="auto" w:sz="4" w:space="0"/>
            </w:tcBorders>
            <w:vAlign w:val="center"/>
          </w:tcPr>
          <w:p w14:paraId="7381D24B">
            <w:pPr>
              <w:rPr>
                <w:rFonts w:ascii="楷体" w:hAnsi="楷体" w:eastAsia="楷体" w:cs="宋体"/>
                <w:szCs w:val="21"/>
              </w:rPr>
            </w:pPr>
            <w:r>
              <w:rPr>
                <w:rFonts w:hint="eastAsia" w:ascii="楷体" w:hAnsi="楷体" w:eastAsia="楷体"/>
                <w:szCs w:val="21"/>
              </w:rPr>
              <w:t>PVC胶带、自粘胶带、黑胶布、尼龙扎带、</w:t>
            </w:r>
            <w:r>
              <w:rPr>
                <w:rFonts w:hint="eastAsia" w:ascii="楷体" w:hAnsi="楷体" w:eastAsia="楷体"/>
                <w:spacing w:val="2"/>
                <w:szCs w:val="21"/>
              </w:rPr>
              <w:t>白布条</w:t>
            </w:r>
            <w:r>
              <w:rPr>
                <w:rFonts w:hint="eastAsia" w:ascii="楷体" w:hAnsi="楷体" w:eastAsia="楷体"/>
                <w:szCs w:val="21"/>
              </w:rPr>
              <w:t>等</w:t>
            </w:r>
          </w:p>
        </w:tc>
      </w:tr>
      <w:tr w14:paraId="39DC47A5">
        <w:tblPrEx>
          <w:tblCellMar>
            <w:top w:w="0" w:type="dxa"/>
            <w:left w:w="108" w:type="dxa"/>
            <w:bottom w:w="0" w:type="dxa"/>
            <w:right w:w="108" w:type="dxa"/>
          </w:tblCellMar>
        </w:tblPrEx>
        <w:trPr>
          <w:trHeight w:val="469" w:hRule="atLeast"/>
          <w:jc w:val="center"/>
        </w:trPr>
        <w:tc>
          <w:tcPr>
            <w:tcW w:w="843" w:type="dxa"/>
            <w:tcBorders>
              <w:top w:val="nil"/>
              <w:left w:val="single" w:color="auto" w:sz="4" w:space="0"/>
              <w:bottom w:val="single" w:color="auto" w:sz="4" w:space="0"/>
              <w:right w:val="single" w:color="auto" w:sz="4" w:space="0"/>
            </w:tcBorders>
            <w:vAlign w:val="center"/>
          </w:tcPr>
          <w:p w14:paraId="301C255B">
            <w:pPr>
              <w:widowControl/>
              <w:jc w:val="center"/>
              <w:rPr>
                <w:rFonts w:ascii="楷体" w:hAnsi="楷体" w:eastAsia="楷体" w:cs="宋体"/>
                <w:kern w:val="0"/>
                <w:szCs w:val="21"/>
              </w:rPr>
            </w:pPr>
            <w:r>
              <w:rPr>
                <w:rFonts w:hint="eastAsia" w:ascii="楷体" w:hAnsi="楷体" w:eastAsia="楷体" w:cs="宋体"/>
                <w:kern w:val="0"/>
                <w:szCs w:val="21"/>
              </w:rPr>
              <w:t>9</w:t>
            </w:r>
          </w:p>
        </w:tc>
        <w:tc>
          <w:tcPr>
            <w:tcW w:w="2560" w:type="dxa"/>
            <w:tcBorders>
              <w:top w:val="nil"/>
              <w:left w:val="nil"/>
              <w:bottom w:val="single" w:color="auto" w:sz="4" w:space="0"/>
              <w:right w:val="single" w:color="auto" w:sz="4" w:space="0"/>
            </w:tcBorders>
            <w:vAlign w:val="center"/>
          </w:tcPr>
          <w:p w14:paraId="795FF5A6">
            <w:pPr>
              <w:widowControl/>
              <w:jc w:val="left"/>
              <w:rPr>
                <w:rFonts w:ascii="楷体" w:hAnsi="楷体" w:eastAsia="楷体" w:cs="宋体"/>
                <w:kern w:val="0"/>
                <w:szCs w:val="21"/>
              </w:rPr>
            </w:pPr>
            <w:r>
              <w:rPr>
                <w:rFonts w:hint="eastAsia" w:ascii="楷体" w:hAnsi="楷体" w:eastAsia="楷体" w:cs="宋体"/>
                <w:kern w:val="0"/>
                <w:szCs w:val="21"/>
              </w:rPr>
              <w:t>维修日常消耗性材料</w:t>
            </w:r>
          </w:p>
        </w:tc>
        <w:tc>
          <w:tcPr>
            <w:tcW w:w="5276" w:type="dxa"/>
            <w:tcBorders>
              <w:top w:val="nil"/>
              <w:left w:val="nil"/>
              <w:bottom w:val="single" w:color="auto" w:sz="4" w:space="0"/>
              <w:right w:val="single" w:color="auto" w:sz="4" w:space="0"/>
            </w:tcBorders>
            <w:vAlign w:val="center"/>
          </w:tcPr>
          <w:p w14:paraId="347C6B5B">
            <w:pPr>
              <w:rPr>
                <w:rFonts w:ascii="楷体" w:hAnsi="楷体" w:eastAsia="楷体" w:cs="宋体"/>
                <w:szCs w:val="21"/>
              </w:rPr>
            </w:pPr>
            <w:r>
              <w:rPr>
                <w:rFonts w:hint="eastAsia" w:ascii="楷体" w:hAnsi="楷体" w:eastAsia="楷体"/>
                <w:szCs w:val="21"/>
              </w:rPr>
              <w:t>青稞纸、砂布、砂纸、研磨棒、毛刷、滚筒刷、</w:t>
            </w:r>
            <w:r>
              <w:rPr>
                <w:rFonts w:hint="eastAsia" w:ascii="楷体" w:hAnsi="楷体" w:eastAsia="楷体"/>
                <w:spacing w:val="2"/>
                <w:szCs w:val="21"/>
              </w:rPr>
              <w:t>洗油</w:t>
            </w:r>
            <w:r>
              <w:rPr>
                <w:rFonts w:hint="eastAsia" w:ascii="楷体" w:hAnsi="楷体" w:eastAsia="楷体"/>
                <w:szCs w:val="21"/>
              </w:rPr>
              <w:t>、溶剂油、滑石笔，铁丝、</w:t>
            </w:r>
            <w:r>
              <w:rPr>
                <w:rFonts w:hint="eastAsia" w:ascii="楷体" w:hAnsi="楷体" w:eastAsia="楷体"/>
                <w:spacing w:val="2"/>
                <w:szCs w:val="21"/>
              </w:rPr>
              <w:t>铅丝，铅油，生料带，麻丝，松锈剂，锯屑、破布</w:t>
            </w:r>
            <w:r>
              <w:rPr>
                <w:rFonts w:hint="eastAsia" w:ascii="楷体" w:hAnsi="楷体" w:eastAsia="楷体"/>
                <w:szCs w:val="21"/>
              </w:rPr>
              <w:t>等</w:t>
            </w:r>
          </w:p>
        </w:tc>
      </w:tr>
      <w:tr w14:paraId="7884A3E4">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6350AACB">
            <w:pPr>
              <w:widowControl/>
              <w:jc w:val="center"/>
              <w:rPr>
                <w:rFonts w:ascii="楷体" w:hAnsi="楷体" w:eastAsia="楷体" w:cs="宋体"/>
                <w:kern w:val="0"/>
                <w:szCs w:val="21"/>
              </w:rPr>
            </w:pPr>
            <w:r>
              <w:rPr>
                <w:rFonts w:hint="eastAsia" w:ascii="楷体" w:hAnsi="楷体" w:eastAsia="楷体" w:cs="宋体"/>
                <w:kern w:val="0"/>
                <w:szCs w:val="21"/>
              </w:rPr>
              <w:t>10</w:t>
            </w:r>
          </w:p>
        </w:tc>
        <w:tc>
          <w:tcPr>
            <w:tcW w:w="2560" w:type="dxa"/>
            <w:tcBorders>
              <w:top w:val="nil"/>
              <w:left w:val="nil"/>
              <w:bottom w:val="single" w:color="auto" w:sz="4" w:space="0"/>
              <w:right w:val="single" w:color="auto" w:sz="4" w:space="0"/>
            </w:tcBorders>
            <w:vAlign w:val="center"/>
          </w:tcPr>
          <w:p w14:paraId="6BEC3773">
            <w:pPr>
              <w:widowControl/>
              <w:jc w:val="left"/>
              <w:rPr>
                <w:rFonts w:ascii="楷体" w:hAnsi="楷体" w:eastAsia="楷体" w:cs="宋体"/>
                <w:kern w:val="0"/>
                <w:szCs w:val="21"/>
              </w:rPr>
            </w:pPr>
            <w:r>
              <w:rPr>
                <w:rFonts w:hint="eastAsia" w:ascii="楷体" w:hAnsi="楷体" w:eastAsia="楷体" w:cs="宋体"/>
                <w:kern w:val="0"/>
                <w:szCs w:val="21"/>
              </w:rPr>
              <w:t>检修用照明灯具类</w:t>
            </w:r>
          </w:p>
        </w:tc>
        <w:tc>
          <w:tcPr>
            <w:tcW w:w="5276" w:type="dxa"/>
            <w:tcBorders>
              <w:top w:val="nil"/>
              <w:left w:val="nil"/>
              <w:bottom w:val="single" w:color="auto" w:sz="4" w:space="0"/>
              <w:right w:val="single" w:color="auto" w:sz="4" w:space="0"/>
            </w:tcBorders>
            <w:vAlign w:val="center"/>
          </w:tcPr>
          <w:p w14:paraId="371E571B">
            <w:pPr>
              <w:rPr>
                <w:rFonts w:ascii="楷体" w:hAnsi="楷体" w:eastAsia="楷体" w:cs="宋体"/>
                <w:szCs w:val="21"/>
              </w:rPr>
            </w:pPr>
            <w:r>
              <w:rPr>
                <w:rFonts w:hint="eastAsia" w:ascii="楷体" w:hAnsi="楷体" w:eastAsia="楷体"/>
                <w:szCs w:val="21"/>
              </w:rPr>
              <w:t>36V灯泡、灯头、碘钨灯管及检修用临时照明用电缆等</w:t>
            </w:r>
          </w:p>
        </w:tc>
      </w:tr>
      <w:tr w14:paraId="7B333E3D">
        <w:tblPrEx>
          <w:tblCellMar>
            <w:top w:w="0" w:type="dxa"/>
            <w:left w:w="108" w:type="dxa"/>
            <w:bottom w:w="0" w:type="dxa"/>
            <w:right w:w="108" w:type="dxa"/>
          </w:tblCellMar>
        </w:tblPrEx>
        <w:trPr>
          <w:trHeight w:val="410" w:hRule="atLeast"/>
          <w:jc w:val="center"/>
        </w:trPr>
        <w:tc>
          <w:tcPr>
            <w:tcW w:w="843" w:type="dxa"/>
            <w:tcBorders>
              <w:top w:val="nil"/>
              <w:left w:val="single" w:color="auto" w:sz="4" w:space="0"/>
              <w:bottom w:val="single" w:color="auto" w:sz="4" w:space="0"/>
              <w:right w:val="single" w:color="auto" w:sz="4" w:space="0"/>
            </w:tcBorders>
            <w:vAlign w:val="center"/>
          </w:tcPr>
          <w:p w14:paraId="58A5D9C1">
            <w:pPr>
              <w:widowControl/>
              <w:jc w:val="center"/>
              <w:rPr>
                <w:rFonts w:ascii="楷体" w:hAnsi="楷体" w:eastAsia="楷体" w:cs="宋体"/>
                <w:kern w:val="0"/>
                <w:szCs w:val="21"/>
              </w:rPr>
            </w:pPr>
            <w:r>
              <w:rPr>
                <w:rFonts w:hint="eastAsia" w:ascii="楷体" w:hAnsi="楷体" w:eastAsia="楷体" w:cs="宋体"/>
                <w:kern w:val="0"/>
                <w:szCs w:val="21"/>
              </w:rPr>
              <w:t>11</w:t>
            </w:r>
          </w:p>
        </w:tc>
        <w:tc>
          <w:tcPr>
            <w:tcW w:w="2560" w:type="dxa"/>
            <w:tcBorders>
              <w:top w:val="nil"/>
              <w:left w:val="nil"/>
              <w:bottom w:val="single" w:color="auto" w:sz="4" w:space="0"/>
              <w:right w:val="single" w:color="auto" w:sz="4" w:space="0"/>
            </w:tcBorders>
            <w:vAlign w:val="center"/>
          </w:tcPr>
          <w:p w14:paraId="3708BC35">
            <w:pPr>
              <w:widowControl/>
              <w:jc w:val="left"/>
              <w:rPr>
                <w:rFonts w:ascii="楷体" w:hAnsi="楷体" w:eastAsia="楷体" w:cs="宋体"/>
                <w:kern w:val="0"/>
                <w:szCs w:val="21"/>
              </w:rPr>
            </w:pPr>
            <w:r>
              <w:rPr>
                <w:rFonts w:hint="eastAsia" w:ascii="楷体" w:hAnsi="楷体" w:eastAsia="楷体" w:cs="宋体"/>
                <w:kern w:val="0"/>
                <w:szCs w:val="21"/>
              </w:rPr>
              <w:t>其它辅材</w:t>
            </w:r>
          </w:p>
        </w:tc>
        <w:tc>
          <w:tcPr>
            <w:tcW w:w="5276" w:type="dxa"/>
            <w:tcBorders>
              <w:top w:val="nil"/>
              <w:left w:val="nil"/>
              <w:bottom w:val="single" w:color="auto" w:sz="4" w:space="0"/>
              <w:right w:val="single" w:color="auto" w:sz="4" w:space="0"/>
            </w:tcBorders>
            <w:vAlign w:val="center"/>
          </w:tcPr>
          <w:p w14:paraId="16B918AE">
            <w:pPr>
              <w:rPr>
                <w:rFonts w:ascii="楷体" w:hAnsi="楷体" w:eastAsia="楷体" w:cs="宋体"/>
                <w:szCs w:val="21"/>
              </w:rPr>
            </w:pPr>
            <w:r>
              <w:rPr>
                <w:rFonts w:hint="eastAsia" w:ascii="楷体" w:hAnsi="楷体" w:eastAsia="楷体"/>
                <w:szCs w:val="21"/>
              </w:rPr>
              <w:t>麻绳、跳板、木跳板等</w:t>
            </w:r>
          </w:p>
        </w:tc>
      </w:tr>
    </w:tbl>
    <w:p w14:paraId="33C2DE71">
      <w:pPr>
        <w:jc w:val="center"/>
        <w:rPr>
          <w:rFonts w:ascii="楷体" w:hAnsi="楷体" w:eastAsia="楷体"/>
        </w:rPr>
      </w:pPr>
    </w:p>
    <w:p w14:paraId="4B5249EC">
      <w:pPr>
        <w:adjustRightInd w:val="0"/>
        <w:snapToGrid w:val="0"/>
        <w:ind w:firstLine="240" w:firstLineChars="100"/>
        <w:outlineLvl w:val="0"/>
        <w:rPr>
          <w:rFonts w:ascii="楷体" w:hAnsi="楷体" w:eastAsia="楷体"/>
          <w:sz w:val="24"/>
        </w:rPr>
      </w:pPr>
      <w:r>
        <w:rPr>
          <w:rFonts w:hint="eastAsia" w:ascii="楷体" w:hAnsi="楷体" w:eastAsia="楷体"/>
          <w:sz w:val="24"/>
        </w:rPr>
        <w:t>2.2.4 检修定义</w:t>
      </w:r>
    </w:p>
    <w:p w14:paraId="377D4E01">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日修：在主作业线不停产的情况下，对设备进行的计划检修，确保设备的正常安全运行。</w:t>
      </w:r>
    </w:p>
    <w:p w14:paraId="182281FF">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定修：是指在部分生产作业线停产条件下进行的或对主作业线有一定影响的计划检修。消除设备隐患，确保设备达标运行。</w:t>
      </w:r>
    </w:p>
    <w:p w14:paraId="75F7E232">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抢修：可在停产或不停产的情况下，对设备出现的故障、事故进行紧急处理和修复。</w:t>
      </w:r>
    </w:p>
    <w:p w14:paraId="068D91ED">
      <w:pPr>
        <w:adjustRightInd w:val="0"/>
        <w:snapToGrid w:val="0"/>
        <w:ind w:firstLine="504" w:firstLineChars="200"/>
        <w:rPr>
          <w:rFonts w:ascii="楷体" w:hAnsi="楷体" w:eastAsia="楷体"/>
          <w:color w:val="000000"/>
          <w:spacing w:val="6"/>
          <w:sz w:val="24"/>
        </w:rPr>
      </w:pPr>
      <w:r>
        <w:rPr>
          <w:rFonts w:hint="eastAsia" w:ascii="楷体" w:hAnsi="楷体" w:eastAsia="楷体"/>
          <w:spacing w:val="6"/>
          <w:sz w:val="24"/>
        </w:rPr>
        <w:t>年修：是</w:t>
      </w:r>
      <w:r>
        <w:rPr>
          <w:rFonts w:hint="eastAsia" w:ascii="楷体" w:hAnsi="楷体" w:eastAsia="楷体"/>
          <w:color w:val="000000"/>
          <w:spacing w:val="6"/>
          <w:sz w:val="24"/>
        </w:rPr>
        <w:t>指在部分生产作业线停产条件下进行的较大规模检修，一般检修工期为3~10天，内容为机械系统更换大部分减速机；电气系统更换大部分电缆、电阻、接触器等。</w:t>
      </w:r>
    </w:p>
    <w:p w14:paraId="41D34671">
      <w:pPr>
        <w:adjustRightInd w:val="0"/>
        <w:snapToGrid w:val="0"/>
        <w:outlineLvl w:val="0"/>
        <w:rPr>
          <w:rFonts w:ascii="楷体" w:hAnsi="楷体" w:eastAsia="楷体"/>
          <w:sz w:val="24"/>
        </w:rPr>
      </w:pPr>
      <w:bookmarkStart w:id="3" w:name="_Toc223748052"/>
      <w:r>
        <w:rPr>
          <w:rFonts w:hint="eastAsia" w:ascii="楷体" w:hAnsi="楷体" w:eastAsia="楷体"/>
          <w:sz w:val="24"/>
        </w:rPr>
        <w:t>2.3 乙方承担的主要工作内容</w:t>
      </w:r>
      <w:bookmarkEnd w:id="3"/>
    </w:p>
    <w:p w14:paraId="13DC293D">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1</w:t>
      </w:r>
      <w:r>
        <w:rPr>
          <w:rFonts w:hint="eastAsia" w:ascii="楷体" w:hAnsi="楷体" w:eastAsia="楷体"/>
          <w:sz w:val="24"/>
        </w:rPr>
        <w:t>乙方负责起重机械的检修（包括日修、定修、抢修），点巡检，日常维护保养，起重机设备本体安全隐患整改实施。离线设备及备件装配、调试、修复及处置。材料及备件的装卸、定置定位管理。涉及检修维护的记录、台账、档案建立等工作。</w:t>
      </w:r>
    </w:p>
    <w:p w14:paraId="643270F9">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2</w:t>
      </w:r>
      <w:r>
        <w:rPr>
          <w:rFonts w:hint="eastAsia" w:ascii="楷体" w:hAnsi="楷体" w:eastAsia="楷体"/>
          <w:sz w:val="24"/>
        </w:rPr>
        <w:t xml:space="preserve"> 起重机械需维修时，乙方倒班人员应坚守岗位随叫随到，及时处理甲方提出的设备调整，故障诊断、排除，状态监测等要求。检修前乙方需制定施工方案，做好人员、物资准备；在确保安全的情况下，在甲方规定的时间内保质保量完成维修任务；检修结束进行试车，并安排检修人员现场护航至设备正常运行时方可撤离。乙方接到抢修通知后应迅速到达现场，并在甲方规定时间内完成抢修工作。乙方应按照甲方的要求，建立健全“紧急抢修”的应急预案，以便在设备发生突发故障时，能保证在规定时间内组织好队伍到达现场，处理故障。</w:t>
      </w:r>
    </w:p>
    <w:p w14:paraId="3751E54A">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3</w:t>
      </w:r>
      <w:r>
        <w:rPr>
          <w:rFonts w:hint="eastAsia" w:ascii="楷体" w:hAnsi="楷体" w:eastAsia="楷体"/>
          <w:sz w:val="24"/>
        </w:rPr>
        <w:t xml:space="preserve"> 起重机械点巡检及维护保养需按照甲方规定的周期、标准、方法实施。维护保养包含设备加油、润滑、检测等。</w:t>
      </w:r>
    </w:p>
    <w:p w14:paraId="000D0E87">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4</w:t>
      </w:r>
      <w:r>
        <w:rPr>
          <w:rFonts w:hint="eastAsia" w:ascii="楷体" w:hAnsi="楷体" w:eastAsia="楷体"/>
          <w:sz w:val="24"/>
        </w:rPr>
        <w:t xml:space="preserve"> 离线设备及备件包括新增设备、新制备件及下线备件。备件装配、整备应达到备件整套、整组更换的要求。包括起重机离线设备的拆装、维保等，修复标准应满足技术要求。</w:t>
      </w:r>
    </w:p>
    <w:p w14:paraId="24C421A9">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5</w:t>
      </w:r>
      <w:r>
        <w:rPr>
          <w:rFonts w:hint="eastAsia" w:ascii="楷体" w:hAnsi="楷体" w:eastAsia="楷体"/>
          <w:sz w:val="24"/>
        </w:rPr>
        <w:t xml:space="preserve"> 乙方负责已领出备件材料管理，内容包含但不限于：备件材料的装卸、接收、确认；建立制作备件存放架、护栏等；下线所有报废的备件材料（包括乙方供货部分）为甲方所有，应按照甲方要求及时回收到指定位置；建立物资入库、消耗、库存管理台帐以及完成甲方备件材料管理制度中规定的其他工作。</w:t>
      </w:r>
    </w:p>
    <w:p w14:paraId="190965B0">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6</w:t>
      </w:r>
      <w:r>
        <w:rPr>
          <w:rFonts w:hint="eastAsia" w:ascii="楷体" w:hAnsi="楷体" w:eastAsia="楷体"/>
          <w:sz w:val="24"/>
        </w:rPr>
        <w:t xml:space="preserve"> 点巡检检修维护用工量器具（焊机、气割工具、千斤顶、手拉葫芦）、辅材等均由乙方自备。</w:t>
      </w:r>
    </w:p>
    <w:p w14:paraId="25C67C6B">
      <w:pPr>
        <w:adjustRightInd w:val="0"/>
        <w:snapToGrid w:val="0"/>
        <w:ind w:firstLine="240" w:firstLineChars="100"/>
        <w:outlineLvl w:val="0"/>
        <w:rPr>
          <w:rFonts w:ascii="楷体" w:hAnsi="楷体" w:eastAsia="楷体"/>
          <w:sz w:val="24"/>
        </w:rPr>
      </w:pPr>
      <w:r>
        <w:rPr>
          <w:rFonts w:hint="eastAsia" w:ascii="楷体" w:hAnsi="楷体" w:eastAsia="楷体"/>
          <w:sz w:val="24"/>
        </w:rPr>
        <w:t>2.3.</w:t>
      </w:r>
      <w:r>
        <w:rPr>
          <w:rFonts w:hint="eastAsia" w:ascii="楷体" w:hAnsi="楷体" w:eastAsia="楷体"/>
          <w:sz w:val="24"/>
          <w:lang w:val="en-US" w:eastAsia="zh-CN"/>
        </w:rPr>
        <w:t>7</w:t>
      </w:r>
      <w:r>
        <w:rPr>
          <w:rFonts w:hint="eastAsia" w:ascii="楷体" w:hAnsi="楷体" w:eastAsia="楷体"/>
          <w:sz w:val="24"/>
        </w:rPr>
        <w:t xml:space="preserve"> 执行甲方相关管理制度及厂规厂纪，按要求做好安全、环境卫生、定置定位、档案记录等设备基础管理工作。</w:t>
      </w:r>
    </w:p>
    <w:p w14:paraId="479B42ED">
      <w:pPr>
        <w:adjustRightInd w:val="0"/>
        <w:snapToGrid w:val="0"/>
        <w:ind w:firstLine="240" w:firstLineChars="100"/>
        <w:outlineLvl w:val="0"/>
        <w:rPr>
          <w:rFonts w:ascii="楷体" w:hAnsi="楷体" w:eastAsia="楷体"/>
          <w:sz w:val="24"/>
        </w:rPr>
      </w:pPr>
      <w:r>
        <w:rPr>
          <w:rFonts w:hint="eastAsia" w:ascii="楷体" w:hAnsi="楷体" w:eastAsia="楷体"/>
          <w:sz w:val="24"/>
        </w:rPr>
        <w:t>2.3.9乙方对职责范围内所有工作负全责，因乙方人员力量、技术能力、等原因不能独立完成，需要甲方协调委托其他单位实施的项目，所产生费用由乙方承担。</w:t>
      </w:r>
    </w:p>
    <w:p w14:paraId="7429F4AC">
      <w:pPr>
        <w:adjustRightInd w:val="0"/>
        <w:snapToGrid w:val="0"/>
        <w:ind w:firstLine="240" w:firstLineChars="100"/>
        <w:outlineLvl w:val="0"/>
        <w:rPr>
          <w:rFonts w:ascii="楷体" w:hAnsi="楷体" w:eastAsia="楷体"/>
          <w:sz w:val="24"/>
        </w:rPr>
      </w:pPr>
      <w:r>
        <w:rPr>
          <w:rFonts w:hint="eastAsia" w:ascii="楷体" w:hAnsi="楷体" w:eastAsia="楷体"/>
          <w:sz w:val="24"/>
        </w:rPr>
        <w:t>2.3.10乙方必须严格遵守甲方档案管理制度及技术资料管理规定,未经甲方许可，不得将各类图纸、设备有关参数、生产绩效等资料泄密给任何第三方。</w:t>
      </w:r>
    </w:p>
    <w:p w14:paraId="62F0155E">
      <w:pPr>
        <w:adjustRightInd w:val="0"/>
        <w:snapToGrid w:val="0"/>
        <w:ind w:firstLine="240" w:firstLineChars="100"/>
        <w:outlineLvl w:val="0"/>
        <w:rPr>
          <w:rFonts w:ascii="楷体" w:hAnsi="楷体" w:eastAsia="楷体"/>
          <w:sz w:val="24"/>
        </w:rPr>
      </w:pPr>
      <w:r>
        <w:rPr>
          <w:rFonts w:hint="eastAsia" w:ascii="楷体" w:hAnsi="楷体" w:eastAsia="楷体"/>
          <w:sz w:val="24"/>
        </w:rPr>
        <w:t>2.3.11为确保安全生产及设备检修维护质量，乙方应完成甲方临时安排的与起重机械有关的工作。</w:t>
      </w:r>
    </w:p>
    <w:p w14:paraId="4DF36F51">
      <w:pPr>
        <w:pStyle w:val="3"/>
        <w:spacing w:before="0" w:after="0" w:line="240" w:lineRule="auto"/>
        <w:rPr>
          <w:rFonts w:ascii="楷体" w:hAnsi="楷体" w:eastAsia="楷体"/>
          <w:kern w:val="2"/>
          <w:szCs w:val="28"/>
        </w:rPr>
      </w:pPr>
      <w:r>
        <w:rPr>
          <w:rFonts w:hint="eastAsia" w:ascii="楷体" w:hAnsi="楷体" w:eastAsia="楷体"/>
          <w:kern w:val="2"/>
          <w:szCs w:val="28"/>
        </w:rPr>
        <w:t>乙方的组织机构</w:t>
      </w:r>
    </w:p>
    <w:p w14:paraId="3ED93DB5">
      <w:pPr>
        <w:ind w:firstLine="480" w:firstLineChars="200"/>
        <w:jc w:val="left"/>
        <w:rPr>
          <w:rFonts w:ascii="楷体" w:hAnsi="楷体" w:eastAsia="楷体"/>
          <w:color w:val="000000"/>
          <w:sz w:val="24"/>
        </w:rPr>
      </w:pPr>
      <w:r>
        <w:rPr>
          <w:rFonts w:hint="eastAsia" w:ascii="楷体" w:hAnsi="楷体" w:eastAsia="楷体"/>
          <w:color w:val="000000"/>
          <w:sz w:val="24"/>
        </w:rPr>
        <w:t>根据配套起重机械明细及用途进行管理、维修等人员的配置，维修人员做到随叫随到。人员配置数量、素质等须满足生产线工作需要，且须得到甲方认可。人员配置至少包括一名项目经理，一名技术管理人员（机械、电气专业各一人），一名安全管理人员（按照《中华人民共和国安全生产法》规定配置）（可同主合同人员共同配置）。</w:t>
      </w:r>
    </w:p>
    <w:p w14:paraId="76619A3B">
      <w:pPr>
        <w:adjustRightInd w:val="0"/>
        <w:snapToGrid w:val="0"/>
        <w:outlineLvl w:val="0"/>
        <w:rPr>
          <w:rFonts w:ascii="楷体" w:hAnsi="楷体" w:eastAsia="楷体"/>
          <w:sz w:val="24"/>
        </w:rPr>
      </w:pPr>
      <w:r>
        <w:rPr>
          <w:rFonts w:hint="eastAsia" w:ascii="楷体" w:hAnsi="楷体" w:eastAsia="楷体"/>
          <w:sz w:val="24"/>
        </w:rPr>
        <w:t>3.1 人员素质要求</w:t>
      </w:r>
    </w:p>
    <w:p w14:paraId="2FDFF493">
      <w:pPr>
        <w:adjustRightInd w:val="0"/>
        <w:snapToGrid w:val="0"/>
        <w:ind w:firstLine="240" w:firstLineChars="100"/>
        <w:rPr>
          <w:rFonts w:ascii="楷体" w:hAnsi="楷体" w:eastAsia="楷体"/>
          <w:color w:val="000000"/>
          <w:sz w:val="24"/>
        </w:rPr>
      </w:pPr>
      <w:r>
        <w:rPr>
          <w:rFonts w:hint="eastAsia" w:ascii="楷体" w:hAnsi="楷体" w:eastAsia="楷体"/>
          <w:sz w:val="24"/>
        </w:rPr>
        <w:t>3.1.1</w:t>
      </w:r>
      <w:r>
        <w:rPr>
          <w:rFonts w:hint="eastAsia" w:ascii="楷体" w:hAnsi="楷体" w:eastAsia="楷体"/>
          <w:color w:val="000000"/>
          <w:sz w:val="24"/>
        </w:rPr>
        <w:t>身心健康，年龄</w:t>
      </w:r>
      <w:r>
        <w:rPr>
          <w:rFonts w:hint="eastAsia" w:ascii="楷体" w:hAnsi="楷体" w:eastAsia="楷体"/>
          <w:color w:val="000000"/>
          <w:sz w:val="24"/>
          <w:lang w:val="en-US" w:eastAsia="zh-CN"/>
        </w:rPr>
        <w:t>5</w:t>
      </w:r>
      <w:r>
        <w:rPr>
          <w:rFonts w:hint="eastAsia" w:ascii="楷体" w:hAnsi="楷体" w:eastAsia="楷体"/>
          <w:color w:val="000000"/>
          <w:sz w:val="24"/>
        </w:rPr>
        <w:t>5周岁以下，技能素质高，责任心强。</w:t>
      </w:r>
    </w:p>
    <w:p w14:paraId="48DB176C">
      <w:pPr>
        <w:adjustRightInd w:val="0"/>
        <w:snapToGrid w:val="0"/>
        <w:ind w:firstLine="240" w:firstLineChars="100"/>
        <w:rPr>
          <w:rFonts w:ascii="楷体" w:hAnsi="楷体" w:eastAsia="楷体"/>
          <w:color w:val="000000"/>
          <w:sz w:val="24"/>
        </w:rPr>
      </w:pPr>
      <w:r>
        <w:rPr>
          <w:rFonts w:hint="eastAsia" w:ascii="楷体" w:hAnsi="楷体" w:eastAsia="楷体"/>
          <w:sz w:val="24"/>
        </w:rPr>
        <w:t>3.1.2</w:t>
      </w:r>
      <w:r>
        <w:rPr>
          <w:rFonts w:hint="eastAsia" w:ascii="楷体" w:hAnsi="楷体" w:eastAsia="楷体"/>
          <w:color w:val="000000"/>
          <w:sz w:val="24"/>
        </w:rPr>
        <w:t>具备基本的操作技能，并持有国家认可的操作证。</w:t>
      </w:r>
    </w:p>
    <w:p w14:paraId="411C65F4">
      <w:pPr>
        <w:adjustRightInd w:val="0"/>
        <w:snapToGrid w:val="0"/>
        <w:ind w:firstLine="240" w:firstLineChars="100"/>
        <w:rPr>
          <w:rFonts w:ascii="楷体" w:hAnsi="楷体" w:eastAsia="楷体"/>
          <w:color w:val="000000"/>
          <w:sz w:val="24"/>
        </w:rPr>
      </w:pPr>
      <w:r>
        <w:rPr>
          <w:rFonts w:hint="eastAsia" w:ascii="楷体" w:hAnsi="楷体" w:eastAsia="楷体"/>
          <w:sz w:val="24"/>
        </w:rPr>
        <w:t>3.1.3</w:t>
      </w:r>
      <w:r>
        <w:rPr>
          <w:rFonts w:hint="eastAsia" w:ascii="楷体" w:hAnsi="楷体" w:eastAsia="楷体"/>
          <w:color w:val="000000"/>
          <w:sz w:val="24"/>
        </w:rPr>
        <w:t>天车工、电工、仪表工、电焊工、叉车驾驶人员等必须具备国家认可的特种作业证及职业资格证。</w:t>
      </w:r>
    </w:p>
    <w:p w14:paraId="65996335">
      <w:pPr>
        <w:adjustRightInd w:val="0"/>
        <w:snapToGrid w:val="0"/>
        <w:outlineLvl w:val="0"/>
        <w:rPr>
          <w:rFonts w:ascii="楷体" w:hAnsi="楷体" w:eastAsia="楷体"/>
          <w:sz w:val="24"/>
        </w:rPr>
      </w:pPr>
      <w:r>
        <w:rPr>
          <w:rFonts w:hint="eastAsia" w:ascii="楷体" w:hAnsi="楷体" w:eastAsia="楷体"/>
          <w:sz w:val="24"/>
        </w:rPr>
        <w:t>3.2 人员应确保稳定，操作人员、维修人员、技术人员及主管人员搭配应满足甲方生产需要及甲方提出的要求，</w:t>
      </w:r>
      <w:bookmarkStart w:id="4" w:name="_Toc40241889"/>
      <w:bookmarkStart w:id="5" w:name="_Toc40155747"/>
      <w:bookmarkStart w:id="6" w:name="_Toc40242055"/>
      <w:r>
        <w:rPr>
          <w:rFonts w:hint="eastAsia" w:ascii="楷体" w:hAnsi="楷体" w:eastAsia="楷体"/>
          <w:sz w:val="24"/>
        </w:rPr>
        <w:t>主管、技术及骨干人员离岗需征得甲方同意，其他人员离岗需报甲方备案。</w:t>
      </w:r>
    </w:p>
    <w:p w14:paraId="0E6BBD4A">
      <w:pPr>
        <w:adjustRightInd w:val="0"/>
        <w:snapToGrid w:val="0"/>
        <w:outlineLvl w:val="0"/>
        <w:rPr>
          <w:rFonts w:ascii="楷体" w:hAnsi="楷体" w:eastAsia="楷体"/>
          <w:sz w:val="24"/>
        </w:rPr>
      </w:pPr>
      <w:r>
        <w:rPr>
          <w:rFonts w:hint="eastAsia" w:ascii="楷体" w:hAnsi="楷体" w:eastAsia="楷体"/>
          <w:sz w:val="24"/>
        </w:rPr>
        <w:t>3.3 乙方必须将所有人员的具体名单、人员履历表、技术职称、资格证书等配置表报甲方。</w:t>
      </w:r>
      <w:bookmarkEnd w:id="4"/>
      <w:bookmarkEnd w:id="5"/>
      <w:bookmarkEnd w:id="6"/>
      <w:bookmarkStart w:id="7" w:name="_Toc40155757"/>
      <w:bookmarkStart w:id="8" w:name="_Toc223748084"/>
      <w:bookmarkStart w:id="9" w:name="_Toc40241899"/>
      <w:bookmarkStart w:id="10" w:name="_Toc40242065"/>
    </w:p>
    <w:p w14:paraId="2EAFD07D">
      <w:pPr>
        <w:pStyle w:val="3"/>
        <w:spacing w:before="0" w:after="0" w:line="240" w:lineRule="auto"/>
        <w:rPr>
          <w:rFonts w:ascii="楷体" w:hAnsi="楷体" w:eastAsia="楷体"/>
          <w:kern w:val="2"/>
          <w:szCs w:val="28"/>
        </w:rPr>
      </w:pPr>
      <w:r>
        <w:rPr>
          <w:rFonts w:hint="eastAsia" w:ascii="楷体" w:hAnsi="楷体" w:eastAsia="楷体"/>
          <w:kern w:val="2"/>
          <w:szCs w:val="28"/>
        </w:rPr>
        <w:t>双方权利和义务</w:t>
      </w:r>
    </w:p>
    <w:p w14:paraId="01BDE126">
      <w:pPr>
        <w:adjustRightInd w:val="0"/>
        <w:snapToGrid w:val="0"/>
        <w:outlineLvl w:val="0"/>
        <w:rPr>
          <w:rFonts w:ascii="楷体" w:hAnsi="楷体" w:eastAsia="楷体"/>
          <w:sz w:val="24"/>
        </w:rPr>
      </w:pPr>
      <w:r>
        <w:rPr>
          <w:rFonts w:hint="eastAsia" w:ascii="楷体" w:hAnsi="楷体" w:eastAsia="楷体"/>
          <w:sz w:val="24"/>
        </w:rPr>
        <w:t>4.1 乙方应执行落实好国家、地方等法律法规，国家、行业的规范标准，甲方的职业健康、安全、消防、设备、相关方等管理制度。</w:t>
      </w:r>
    </w:p>
    <w:p w14:paraId="2EB742BE">
      <w:pPr>
        <w:adjustRightInd w:val="0"/>
        <w:snapToGrid w:val="0"/>
        <w:outlineLvl w:val="0"/>
        <w:rPr>
          <w:rFonts w:hint="eastAsia" w:ascii="楷体" w:hAnsi="楷体" w:eastAsia="楷体" w:cs="Times New Roman"/>
          <w:sz w:val="24"/>
          <w:lang w:eastAsia="zh-CN"/>
        </w:rPr>
      </w:pPr>
      <w:r>
        <w:rPr>
          <w:rFonts w:hint="eastAsia" w:ascii="楷体" w:hAnsi="楷体" w:eastAsia="楷体"/>
          <w:sz w:val="24"/>
        </w:rPr>
        <w:t>4.2 乙方应严格服从甲方的管理，严禁违章作业</w:t>
      </w:r>
      <w:r>
        <w:rPr>
          <w:rFonts w:hint="eastAsia" w:ascii="楷体" w:hAnsi="楷体" w:eastAsia="楷体"/>
          <w:sz w:val="24"/>
          <w:lang w:eastAsia="zh-CN"/>
        </w:rPr>
        <w:t>，</w:t>
      </w:r>
      <w:r>
        <w:rPr>
          <w:rFonts w:hint="eastAsia" w:ascii="楷体" w:hAnsi="楷体" w:eastAsia="楷体" w:cs="Times New Roman"/>
          <w:sz w:val="24"/>
        </w:rPr>
        <w:t>乙方须按有关规定，采取严格的安全防范措施，保证作业安全，承担由于自身安全措施不力造成事故的责任和因此发生的一切费用</w:t>
      </w:r>
      <w:r>
        <w:rPr>
          <w:rFonts w:hint="eastAsia" w:ascii="楷体" w:hAnsi="楷体" w:eastAsia="楷体" w:cs="Times New Roman"/>
          <w:sz w:val="24"/>
          <w:lang w:eastAsia="zh-CN"/>
        </w:rPr>
        <w:t>。</w:t>
      </w:r>
    </w:p>
    <w:p w14:paraId="6A9BE2BB">
      <w:pPr>
        <w:adjustRightInd w:val="0"/>
        <w:snapToGrid w:val="0"/>
        <w:outlineLvl w:val="0"/>
        <w:rPr>
          <w:rFonts w:ascii="楷体" w:hAnsi="楷体" w:eastAsia="楷体"/>
          <w:sz w:val="24"/>
        </w:rPr>
      </w:pPr>
      <w:r>
        <w:rPr>
          <w:rFonts w:hint="eastAsia" w:ascii="楷体" w:hAnsi="楷体" w:eastAsia="楷体"/>
          <w:sz w:val="24"/>
        </w:rPr>
        <w:t>4.3 乙方应根据生产、检修等工作需要，及时协调、调整人员配置，确保设备、生产的顺行；若出现不能满足生产、检修等工作需要，甲方有权要求更换项目经理，有权要求更换技术水平低，责任心差的人员，乙方须无条件服从。</w:t>
      </w:r>
    </w:p>
    <w:p w14:paraId="7D9117FB">
      <w:pPr>
        <w:adjustRightInd w:val="0"/>
        <w:snapToGrid w:val="0"/>
        <w:outlineLvl w:val="0"/>
        <w:rPr>
          <w:rFonts w:ascii="楷体" w:hAnsi="楷体" w:eastAsia="楷体"/>
          <w:sz w:val="24"/>
        </w:rPr>
      </w:pPr>
      <w:r>
        <w:rPr>
          <w:rFonts w:hint="eastAsia" w:ascii="楷体" w:hAnsi="楷体" w:eastAsia="楷体"/>
          <w:sz w:val="24"/>
        </w:rPr>
        <w:t>4.4 乙方应根据设备、工作需要，及时补充材料、工器具等物资。若出现不能满足现场需要等情况，甲方有权直接采购并从合同费用中扣除，并进行相应的经济考核。</w:t>
      </w:r>
    </w:p>
    <w:p w14:paraId="398B83BC">
      <w:pPr>
        <w:adjustRightInd w:val="0"/>
        <w:snapToGrid w:val="0"/>
        <w:outlineLvl w:val="0"/>
        <w:rPr>
          <w:rFonts w:hint="eastAsia" w:ascii="楷体" w:hAnsi="楷体" w:eastAsia="楷体"/>
          <w:sz w:val="24"/>
        </w:rPr>
      </w:pPr>
      <w:r>
        <w:rPr>
          <w:rFonts w:hint="eastAsia" w:ascii="楷体" w:hAnsi="楷体" w:eastAsia="楷体"/>
          <w:sz w:val="24"/>
        </w:rPr>
        <w:t>4.5 甲方有权对乙方的作业、设备运行情况等进行检查，对发现的问题乙方须限期整改。</w:t>
      </w:r>
    </w:p>
    <w:p w14:paraId="36D49818">
      <w:pPr>
        <w:adjustRightInd w:val="0"/>
        <w:snapToGrid w:val="0"/>
        <w:outlineLvl w:val="0"/>
        <w:rPr>
          <w:rFonts w:hint="default" w:ascii="楷体" w:hAnsi="楷体" w:eastAsia="楷体"/>
          <w:sz w:val="24"/>
          <w:lang w:val="en-US" w:eastAsia="zh-CN"/>
        </w:rPr>
      </w:pPr>
      <w:r>
        <w:rPr>
          <w:rFonts w:hint="eastAsia" w:ascii="楷体" w:hAnsi="楷体" w:eastAsia="楷体"/>
          <w:sz w:val="24"/>
          <w:lang w:val="en-US" w:eastAsia="zh-CN"/>
        </w:rPr>
        <w:t>4.7乙方提报的维修更换配件计划甲方应及时采购不得耽误乙方的维修。</w:t>
      </w:r>
    </w:p>
    <w:p w14:paraId="12190026">
      <w:pPr>
        <w:adjustRightInd w:val="0"/>
        <w:snapToGrid w:val="0"/>
        <w:outlineLvl w:val="0"/>
        <w:rPr>
          <w:rFonts w:ascii="楷体" w:hAnsi="楷体" w:eastAsia="楷体"/>
          <w:sz w:val="24"/>
        </w:rPr>
      </w:pPr>
      <w:r>
        <w:rPr>
          <w:rFonts w:hint="eastAsia" w:ascii="楷体" w:hAnsi="楷体" w:eastAsia="楷体"/>
          <w:sz w:val="24"/>
        </w:rPr>
        <w:t>4.6 未尽事宜，双方友好协商解决。</w:t>
      </w:r>
    </w:p>
    <w:p w14:paraId="1EDCB5F9">
      <w:pPr>
        <w:pStyle w:val="3"/>
        <w:spacing w:before="0" w:after="0" w:line="240" w:lineRule="auto"/>
        <w:rPr>
          <w:rFonts w:ascii="楷体" w:hAnsi="楷体" w:eastAsia="楷体"/>
          <w:kern w:val="2"/>
          <w:szCs w:val="28"/>
        </w:rPr>
      </w:pPr>
      <w:r>
        <w:rPr>
          <w:rFonts w:hint="eastAsia" w:ascii="楷体" w:hAnsi="楷体" w:eastAsia="楷体"/>
          <w:kern w:val="2"/>
          <w:szCs w:val="28"/>
        </w:rPr>
        <w:t>职业健康安全环保</w:t>
      </w:r>
    </w:p>
    <w:p w14:paraId="7E8B2A9A">
      <w:pPr>
        <w:adjustRightInd w:val="0"/>
        <w:snapToGrid w:val="0"/>
        <w:ind w:firstLine="480" w:firstLineChars="200"/>
        <w:rPr>
          <w:rFonts w:ascii="楷体" w:hAnsi="楷体" w:eastAsia="楷体"/>
          <w:color w:val="000000"/>
          <w:sz w:val="24"/>
        </w:rPr>
      </w:pPr>
      <w:r>
        <w:rPr>
          <w:rFonts w:hint="eastAsia" w:ascii="楷体" w:hAnsi="楷体" w:eastAsia="楷体"/>
          <w:color w:val="000000"/>
          <w:sz w:val="24"/>
        </w:rPr>
        <w:t>执行国家、行业及甲方的相关制度及规定。</w:t>
      </w:r>
    </w:p>
    <w:p w14:paraId="08946489">
      <w:pPr>
        <w:pStyle w:val="3"/>
        <w:spacing w:before="0" w:after="0" w:line="240" w:lineRule="auto"/>
        <w:rPr>
          <w:rFonts w:ascii="楷体" w:hAnsi="楷体" w:eastAsia="楷体"/>
          <w:kern w:val="2"/>
          <w:szCs w:val="28"/>
        </w:rPr>
      </w:pPr>
      <w:r>
        <w:rPr>
          <w:rFonts w:hint="eastAsia" w:ascii="楷体" w:hAnsi="楷体" w:eastAsia="楷体"/>
          <w:kern w:val="2"/>
          <w:szCs w:val="28"/>
        </w:rPr>
        <w:t>后勤管理</w:t>
      </w:r>
      <w:bookmarkEnd w:id="7"/>
      <w:bookmarkEnd w:id="8"/>
      <w:bookmarkEnd w:id="9"/>
      <w:bookmarkEnd w:id="10"/>
    </w:p>
    <w:p w14:paraId="3E954590">
      <w:pPr>
        <w:adjustRightInd w:val="0"/>
        <w:snapToGrid w:val="0"/>
        <w:outlineLvl w:val="0"/>
        <w:rPr>
          <w:rFonts w:ascii="楷体" w:hAnsi="楷体" w:eastAsia="楷体"/>
          <w:sz w:val="24"/>
        </w:rPr>
      </w:pPr>
      <w:r>
        <w:rPr>
          <w:rFonts w:hint="eastAsia" w:ascii="楷体" w:hAnsi="楷体" w:eastAsia="楷体"/>
          <w:sz w:val="24"/>
        </w:rPr>
        <w:t>6.1 甲方提供场地，乙方自行解决人员办公、工器具及备件材料的存放。</w:t>
      </w:r>
    </w:p>
    <w:p w14:paraId="0CEBAB41">
      <w:pPr>
        <w:adjustRightInd w:val="0"/>
        <w:snapToGrid w:val="0"/>
        <w:outlineLvl w:val="0"/>
        <w:rPr>
          <w:rFonts w:ascii="楷体" w:hAnsi="楷体" w:eastAsia="楷体"/>
          <w:sz w:val="24"/>
        </w:rPr>
      </w:pPr>
      <w:r>
        <w:rPr>
          <w:rFonts w:hint="eastAsia" w:ascii="楷体" w:hAnsi="楷体" w:eastAsia="楷体"/>
          <w:sz w:val="24"/>
        </w:rPr>
        <w:t>6.2 甲方提供当班人员就餐、洗澡的场所，费用乙方自理。</w:t>
      </w:r>
    </w:p>
    <w:p w14:paraId="6ADF0420">
      <w:pPr>
        <w:adjustRightInd w:val="0"/>
        <w:snapToGrid w:val="0"/>
        <w:outlineLvl w:val="0"/>
        <w:rPr>
          <w:rFonts w:ascii="楷体" w:hAnsi="楷体" w:eastAsia="楷体"/>
          <w:sz w:val="24"/>
        </w:rPr>
      </w:pPr>
      <w:r>
        <w:rPr>
          <w:rFonts w:hint="eastAsia" w:ascii="楷体" w:hAnsi="楷体" w:eastAsia="楷体"/>
          <w:sz w:val="24"/>
        </w:rPr>
        <w:t>6.3 乙方住宿、上下班的交通自理。</w:t>
      </w:r>
    </w:p>
    <w:p w14:paraId="2B9B898A">
      <w:pPr>
        <w:adjustRightInd w:val="0"/>
        <w:snapToGrid w:val="0"/>
        <w:outlineLvl w:val="0"/>
        <w:rPr>
          <w:rFonts w:ascii="楷体" w:hAnsi="楷体" w:eastAsia="楷体"/>
          <w:sz w:val="24"/>
        </w:rPr>
      </w:pPr>
      <w:r>
        <w:rPr>
          <w:rFonts w:hint="eastAsia" w:ascii="楷体" w:hAnsi="楷体" w:eastAsia="楷体"/>
          <w:sz w:val="24"/>
        </w:rPr>
        <w:t>6.4 乙方办公费用自理。</w:t>
      </w:r>
    </w:p>
    <w:p w14:paraId="3B51FA29">
      <w:pPr>
        <w:pStyle w:val="3"/>
        <w:spacing w:before="0" w:after="0" w:line="240" w:lineRule="auto"/>
        <w:rPr>
          <w:rFonts w:ascii="楷体" w:hAnsi="楷体" w:eastAsia="楷体"/>
          <w:kern w:val="2"/>
          <w:szCs w:val="28"/>
        </w:rPr>
      </w:pPr>
      <w:r>
        <w:rPr>
          <w:rFonts w:hint="eastAsia" w:ascii="楷体" w:hAnsi="楷体" w:eastAsia="楷体"/>
          <w:kern w:val="2"/>
          <w:szCs w:val="28"/>
        </w:rPr>
        <w:t>工作考核</w:t>
      </w:r>
    </w:p>
    <w:p w14:paraId="4B637593">
      <w:pPr>
        <w:adjustRightInd w:val="0"/>
        <w:snapToGrid w:val="0"/>
        <w:outlineLvl w:val="0"/>
        <w:rPr>
          <w:rFonts w:ascii="楷体" w:hAnsi="楷体" w:eastAsia="楷体"/>
          <w:sz w:val="24"/>
        </w:rPr>
      </w:pPr>
      <w:r>
        <w:rPr>
          <w:rFonts w:hint="eastAsia" w:ascii="楷体" w:hAnsi="楷体" w:eastAsia="楷体"/>
          <w:sz w:val="24"/>
        </w:rPr>
        <w:t>7.1 甲方依照相关考核制度，对乙方进行全方面考核，包括工作质量、检修误时、环境保护、备品备件管理、劳动纪律、违章违纪、安全生产、人员配备等。考核费用从合同费用中扣除，涉及到个人的考核应落实到人。因乙方责任引起的一切安全、生产、设备、质量损失等由乙方承担全部责任。</w:t>
      </w:r>
    </w:p>
    <w:p w14:paraId="5DB910AE">
      <w:pPr>
        <w:adjustRightInd w:val="0"/>
        <w:snapToGrid w:val="0"/>
        <w:outlineLvl w:val="0"/>
        <w:rPr>
          <w:rFonts w:ascii="楷体" w:hAnsi="楷体" w:eastAsia="楷体"/>
          <w:sz w:val="24"/>
        </w:rPr>
      </w:pPr>
      <w:r>
        <w:rPr>
          <w:rFonts w:hint="eastAsia" w:ascii="楷体" w:hAnsi="楷体" w:eastAsia="楷体"/>
          <w:sz w:val="24"/>
        </w:rPr>
        <w:t xml:space="preserve">    主要考核指标：落实好国家、地方等法律法规，国家、行业的规范标准，招标方的职业健康、安全、设备、相关方等管理制度，执行率100%；设备操作、点检、维护、维修严格执行“一书四标”，执行率100%；设备完好率100%（非乙方原因除外）；检修或抢修后24小时内不重复发生事故（非乙方原因除外）；因检修质量原因引发故障为零；设备漏油、滴油率为零；违章、事故率为零。</w:t>
      </w:r>
    </w:p>
    <w:p w14:paraId="0BC5D26B">
      <w:pPr>
        <w:adjustRightInd w:val="0"/>
        <w:snapToGrid w:val="0"/>
        <w:outlineLvl w:val="0"/>
        <w:rPr>
          <w:rFonts w:ascii="楷体" w:hAnsi="楷体" w:eastAsia="楷体"/>
          <w:sz w:val="24"/>
        </w:rPr>
      </w:pPr>
      <w:r>
        <w:rPr>
          <w:rFonts w:hint="eastAsia" w:ascii="楷体" w:hAnsi="楷体" w:eastAsia="楷体"/>
          <w:sz w:val="24"/>
        </w:rPr>
        <w:t xml:space="preserve">    上述考核指标：每发现一次，视情况扣罚50-</w:t>
      </w:r>
      <w:r>
        <w:rPr>
          <w:rFonts w:hint="eastAsia" w:ascii="楷体" w:hAnsi="楷体" w:eastAsia="楷体"/>
          <w:sz w:val="24"/>
          <w:lang w:val="en-US" w:eastAsia="zh-CN"/>
        </w:rPr>
        <w:t>2</w:t>
      </w:r>
      <w:r>
        <w:rPr>
          <w:rFonts w:hint="eastAsia" w:ascii="楷体" w:hAnsi="楷体" w:eastAsia="楷体"/>
          <w:sz w:val="24"/>
        </w:rPr>
        <w:t>000元，严重者按照甲方相关管理制度、国家法律法规执行。</w:t>
      </w:r>
    </w:p>
    <w:p w14:paraId="0E74FDF7">
      <w:pPr>
        <w:adjustRightInd w:val="0"/>
        <w:snapToGrid w:val="0"/>
        <w:outlineLvl w:val="0"/>
        <w:rPr>
          <w:rFonts w:ascii="楷体" w:hAnsi="楷体" w:eastAsia="楷体"/>
          <w:sz w:val="24"/>
        </w:rPr>
      </w:pPr>
      <w:r>
        <w:rPr>
          <w:rFonts w:hint="eastAsia" w:ascii="楷体" w:hAnsi="楷体" w:eastAsia="楷体"/>
          <w:sz w:val="24"/>
        </w:rPr>
        <w:t>7.2 甲方不定期对乙方的操作、点巡检、维修质量进行检查，每发现一次质量问题，考核乙方500～</w:t>
      </w:r>
      <w:r>
        <w:rPr>
          <w:rFonts w:hint="eastAsia" w:ascii="楷体" w:hAnsi="楷体" w:eastAsia="楷体"/>
          <w:sz w:val="24"/>
          <w:lang w:val="en-US" w:eastAsia="zh-CN"/>
        </w:rPr>
        <w:t>1</w:t>
      </w:r>
      <w:r>
        <w:rPr>
          <w:rFonts w:hint="eastAsia" w:ascii="楷体" w:hAnsi="楷体" w:eastAsia="楷体"/>
          <w:sz w:val="24"/>
        </w:rPr>
        <w:t>000元/次，造成设备事故的按照实际损失额进行考核。</w:t>
      </w:r>
    </w:p>
    <w:p w14:paraId="5A4394DC">
      <w:pPr>
        <w:adjustRightInd w:val="0"/>
        <w:snapToGrid w:val="0"/>
        <w:outlineLvl w:val="0"/>
        <w:rPr>
          <w:rFonts w:ascii="楷体" w:hAnsi="楷体" w:eastAsia="楷体"/>
          <w:sz w:val="24"/>
        </w:rPr>
      </w:pPr>
      <w:r>
        <w:rPr>
          <w:rFonts w:hint="eastAsia" w:ascii="楷体" w:hAnsi="楷体" w:eastAsia="楷体"/>
          <w:sz w:val="24"/>
        </w:rPr>
        <w:t>7.3 天车操作人员、维护检修人员应随叫随到，无法满足要求时根据情况考核乙方500～</w:t>
      </w:r>
      <w:r>
        <w:rPr>
          <w:rFonts w:hint="eastAsia" w:ascii="楷体" w:hAnsi="楷体" w:eastAsia="楷体"/>
          <w:sz w:val="24"/>
          <w:lang w:val="en-US" w:eastAsia="zh-CN"/>
        </w:rPr>
        <w:t>1</w:t>
      </w:r>
      <w:r>
        <w:rPr>
          <w:rFonts w:hint="eastAsia" w:ascii="楷体" w:hAnsi="楷体" w:eastAsia="楷体"/>
          <w:sz w:val="24"/>
        </w:rPr>
        <w:t>000元/次。</w:t>
      </w:r>
    </w:p>
    <w:p w14:paraId="623DB2A9">
      <w:pPr>
        <w:adjustRightInd w:val="0"/>
        <w:snapToGrid w:val="0"/>
        <w:outlineLvl w:val="0"/>
        <w:rPr>
          <w:rFonts w:ascii="楷体" w:hAnsi="楷体" w:eastAsia="楷体"/>
          <w:sz w:val="24"/>
        </w:rPr>
      </w:pPr>
      <w:r>
        <w:rPr>
          <w:rFonts w:hint="eastAsia" w:ascii="楷体" w:hAnsi="楷体" w:eastAsia="楷体"/>
          <w:sz w:val="24"/>
        </w:rPr>
        <w:t>7.4 乙方应服从甲方的管理，出现不服从的情况考核200～1000元／次。</w:t>
      </w:r>
    </w:p>
    <w:p w14:paraId="6A7ECD12">
      <w:pPr>
        <w:adjustRightInd w:val="0"/>
        <w:snapToGrid w:val="0"/>
        <w:outlineLvl w:val="0"/>
        <w:rPr>
          <w:rFonts w:ascii="楷体" w:hAnsi="楷体" w:eastAsia="楷体"/>
          <w:sz w:val="24"/>
        </w:rPr>
      </w:pPr>
      <w:r>
        <w:rPr>
          <w:rFonts w:hint="eastAsia" w:ascii="楷体" w:hAnsi="楷体" w:eastAsia="楷体"/>
          <w:sz w:val="24"/>
        </w:rPr>
        <w:t>7.5 因乙方原因影响正常生产的，考核乙方500元/小时。</w:t>
      </w:r>
    </w:p>
    <w:p w14:paraId="1F469F4E">
      <w:pPr>
        <w:adjustRightInd w:val="0"/>
        <w:snapToGrid w:val="0"/>
        <w:outlineLvl w:val="0"/>
        <w:rPr>
          <w:rFonts w:hint="eastAsia" w:ascii="楷体" w:hAnsi="楷体" w:eastAsia="楷体"/>
          <w:sz w:val="24"/>
        </w:rPr>
      </w:pPr>
      <w:r>
        <w:rPr>
          <w:rFonts w:hint="eastAsia" w:ascii="楷体" w:hAnsi="楷体" w:eastAsia="楷体"/>
          <w:sz w:val="24"/>
        </w:rPr>
        <w:t>7.6 因甲方原因造成乙方工作任务增加，甲方根据相关管理制度对乙方进行奖励。</w:t>
      </w:r>
    </w:p>
    <w:p w14:paraId="5C7FE62E">
      <w:pPr>
        <w:adjustRightInd w:val="0"/>
        <w:snapToGrid w:val="0"/>
        <w:outlineLvl w:val="0"/>
        <w:rPr>
          <w:rFonts w:hint="eastAsia" w:ascii="楷体" w:hAnsi="楷体" w:eastAsia="楷体"/>
          <w:sz w:val="24"/>
        </w:rPr>
      </w:pPr>
    </w:p>
    <w:p w14:paraId="16B92CC9">
      <w:pPr>
        <w:pStyle w:val="3"/>
        <w:spacing w:before="0" w:after="0" w:line="240" w:lineRule="auto"/>
        <w:rPr>
          <w:rFonts w:ascii="楷体" w:hAnsi="楷体" w:eastAsia="楷体"/>
          <w:kern w:val="2"/>
          <w:szCs w:val="28"/>
        </w:rPr>
      </w:pPr>
      <w:r>
        <w:rPr>
          <w:rFonts w:hint="eastAsia" w:ascii="楷体" w:hAnsi="楷体" w:eastAsia="楷体"/>
          <w:kern w:val="2"/>
          <w:szCs w:val="28"/>
          <w:lang w:eastAsia="zh-CN"/>
        </w:rPr>
        <w:t>费用支付</w:t>
      </w:r>
    </w:p>
    <w:p w14:paraId="4081A5BF">
      <w:pPr>
        <w:adjustRightInd w:val="0"/>
        <w:snapToGrid w:val="0"/>
        <w:outlineLvl w:val="0"/>
        <w:rPr>
          <w:rFonts w:hint="eastAsia" w:ascii="楷体" w:hAnsi="楷体" w:eastAsia="楷体" w:cs="Times New Roman"/>
          <w:sz w:val="24"/>
        </w:rPr>
      </w:pPr>
      <w:r>
        <w:rPr>
          <w:rFonts w:hint="eastAsia" w:ascii="楷体" w:hAnsi="楷体" w:eastAsia="楷体" w:cs="Times New Roman"/>
          <w:sz w:val="24"/>
          <w:lang w:val="en-US" w:eastAsia="zh-CN"/>
        </w:rPr>
        <w:t>8.1</w:t>
      </w:r>
      <w:r>
        <w:rPr>
          <w:rFonts w:hint="eastAsia" w:ascii="楷体" w:hAnsi="楷体" w:eastAsia="楷体" w:cs="Times New Roman"/>
          <w:sz w:val="24"/>
        </w:rPr>
        <w:t>乙方提供点检维修记录、出勤记录、当月工作内容、工作质量等，由甲方对乙方工作评价</w:t>
      </w:r>
      <w:r>
        <w:rPr>
          <w:rFonts w:hint="eastAsia" w:ascii="楷体" w:hAnsi="楷体" w:eastAsia="楷体" w:cs="Times New Roman"/>
          <w:sz w:val="24"/>
          <w:lang w:eastAsia="zh-CN"/>
        </w:rPr>
        <w:t>，</w:t>
      </w:r>
      <w:r>
        <w:rPr>
          <w:rFonts w:hint="eastAsia" w:ascii="楷体" w:hAnsi="楷体" w:eastAsia="楷体" w:cs="Times New Roman"/>
          <w:sz w:val="24"/>
          <w:lang w:val="en-US" w:eastAsia="zh-CN"/>
        </w:rPr>
        <w:t>评价良好，乙</w:t>
      </w:r>
      <w:r>
        <w:rPr>
          <w:rFonts w:hint="eastAsia" w:ascii="楷体" w:hAnsi="楷体" w:eastAsia="楷体" w:cs="Times New Roman"/>
          <w:sz w:val="24"/>
          <w:lang w:eastAsia="zh-CN"/>
        </w:rPr>
        <w:t>方开具增值税专用发票（附合同</w:t>
      </w:r>
      <w:r>
        <w:rPr>
          <w:rFonts w:hint="eastAsia" w:ascii="楷体" w:hAnsi="楷体" w:eastAsia="楷体" w:cs="Times New Roman"/>
          <w:sz w:val="24"/>
          <w:lang w:val="en-US" w:eastAsia="zh-CN"/>
        </w:rPr>
        <w:t>复印</w:t>
      </w:r>
      <w:r>
        <w:rPr>
          <w:rFonts w:hint="eastAsia" w:ascii="楷体" w:hAnsi="楷体" w:eastAsia="楷体" w:cs="Times New Roman"/>
          <w:sz w:val="24"/>
          <w:lang w:eastAsia="zh-CN"/>
        </w:rPr>
        <w:t>件），发票入账后6个月内银行承兑付款，如</w:t>
      </w:r>
      <w:r>
        <w:rPr>
          <w:rFonts w:hint="eastAsia" w:ascii="楷体" w:hAnsi="楷体" w:eastAsia="楷体" w:cs="Times New Roman"/>
          <w:sz w:val="24"/>
          <w:lang w:val="en-US" w:eastAsia="zh-CN"/>
        </w:rPr>
        <w:t>乙</w:t>
      </w:r>
      <w:r>
        <w:rPr>
          <w:rFonts w:hint="eastAsia" w:ascii="楷体" w:hAnsi="楷体" w:eastAsia="楷体" w:cs="Times New Roman"/>
          <w:sz w:val="24"/>
          <w:lang w:eastAsia="zh-CN"/>
        </w:rPr>
        <w:t>方不开具发票，</w:t>
      </w:r>
      <w:r>
        <w:rPr>
          <w:rFonts w:hint="eastAsia" w:ascii="楷体" w:hAnsi="楷体" w:eastAsia="楷体" w:cs="Times New Roman"/>
          <w:sz w:val="24"/>
          <w:lang w:val="en-US" w:eastAsia="zh-CN"/>
        </w:rPr>
        <w:t>甲方</w:t>
      </w:r>
      <w:r>
        <w:rPr>
          <w:rFonts w:hint="eastAsia" w:ascii="楷体" w:hAnsi="楷体" w:eastAsia="楷体" w:cs="Times New Roman"/>
          <w:sz w:val="24"/>
          <w:lang w:eastAsia="zh-CN"/>
        </w:rPr>
        <w:t>不付款。</w:t>
      </w:r>
    </w:p>
    <w:p w14:paraId="48E7FA3B">
      <w:pPr>
        <w:adjustRightInd w:val="0"/>
        <w:snapToGrid w:val="0"/>
        <w:outlineLvl w:val="0"/>
        <w:rPr>
          <w:rFonts w:hint="eastAsia" w:ascii="楷体" w:hAnsi="楷体" w:eastAsia="楷体"/>
          <w:sz w:val="24"/>
        </w:rPr>
      </w:pPr>
    </w:p>
    <w:p w14:paraId="1E33A7D4">
      <w:pPr>
        <w:adjustRightInd w:val="0"/>
        <w:snapToGrid w:val="0"/>
        <w:outlineLvl w:val="0"/>
        <w:rPr>
          <w:rFonts w:hint="eastAsia" w:ascii="楷体" w:hAnsi="楷体" w:eastAsia="楷体"/>
          <w:sz w:val="24"/>
        </w:rPr>
      </w:pPr>
    </w:p>
    <w:p w14:paraId="4F88A8E9">
      <w:pPr>
        <w:jc w:val="both"/>
        <w:rPr>
          <w:rFonts w:hint="eastAsia" w:ascii="楷体" w:hAnsi="楷体" w:eastAsia="楷体"/>
          <w:b/>
          <w:bCs/>
          <w:sz w:val="36"/>
          <w:szCs w:val="36"/>
          <w:lang w:eastAsia="zh-CN"/>
        </w:rPr>
      </w:pPr>
    </w:p>
    <w:p w14:paraId="75F10F46">
      <w:pPr>
        <w:pStyle w:val="10"/>
        <w:numPr>
          <w:ilvl w:val="0"/>
          <w:numId w:val="2"/>
        </w:numPr>
        <w:ind w:firstLine="2530" w:firstLineChars="700"/>
        <w:rPr>
          <w:rFonts w:hint="eastAsia" w:ascii="楷体" w:hAnsi="楷体" w:eastAsia="楷体"/>
          <w:b/>
          <w:sz w:val="36"/>
          <w:szCs w:val="36"/>
          <w:lang w:eastAsia="zh-CN"/>
        </w:rPr>
      </w:pPr>
      <w:r>
        <w:rPr>
          <w:rFonts w:hint="eastAsia" w:ascii="楷体" w:hAnsi="楷体" w:eastAsia="楷体"/>
          <w:b/>
          <w:sz w:val="36"/>
          <w:szCs w:val="36"/>
          <w:lang w:val="en-US" w:eastAsia="zh-CN"/>
        </w:rPr>
        <w:t xml:space="preserve">  </w:t>
      </w:r>
      <w:r>
        <w:rPr>
          <w:rFonts w:hint="eastAsia" w:ascii="楷体" w:hAnsi="楷体" w:eastAsia="楷体"/>
          <w:b/>
          <w:sz w:val="36"/>
          <w:szCs w:val="36"/>
        </w:rPr>
        <w:t xml:space="preserve"> </w:t>
      </w:r>
      <w:r>
        <w:rPr>
          <w:rFonts w:hint="eastAsia" w:ascii="楷体" w:hAnsi="楷体" w:eastAsia="楷体"/>
          <w:b/>
          <w:sz w:val="36"/>
          <w:szCs w:val="36"/>
          <w:lang w:eastAsia="zh-CN"/>
        </w:rPr>
        <w:t>投标报价</w:t>
      </w:r>
    </w:p>
    <w:p w14:paraId="49E6DD89">
      <w:pPr>
        <w:pStyle w:val="10"/>
        <w:numPr>
          <w:ilvl w:val="0"/>
          <w:numId w:val="0"/>
        </w:numPr>
        <w:rPr>
          <w:rFonts w:hint="eastAsia" w:ascii="楷体" w:hAnsi="楷体" w:eastAsia="楷体"/>
          <w:b/>
          <w:sz w:val="28"/>
          <w:szCs w:val="28"/>
          <w:lang w:eastAsia="zh-CN"/>
        </w:rPr>
      </w:pPr>
    </w:p>
    <w:p w14:paraId="59C6B05D">
      <w:pPr>
        <w:pStyle w:val="10"/>
        <w:numPr>
          <w:ilvl w:val="0"/>
          <w:numId w:val="0"/>
        </w:numPr>
        <w:rPr>
          <w:rFonts w:hint="eastAsia" w:ascii="楷体" w:hAnsi="楷体" w:eastAsia="楷体"/>
          <w:b/>
          <w:color w:val="0070C0"/>
          <w:sz w:val="28"/>
          <w:szCs w:val="28"/>
          <w:lang w:eastAsia="zh-CN"/>
        </w:rPr>
      </w:pPr>
      <w:r>
        <w:rPr>
          <w:rFonts w:hint="eastAsia" w:ascii="楷体" w:hAnsi="楷体" w:eastAsia="楷体"/>
          <w:b/>
          <w:color w:val="0070C0"/>
          <w:sz w:val="28"/>
          <w:szCs w:val="28"/>
          <w:lang w:eastAsia="zh-CN"/>
        </w:rPr>
        <w:t>说明：</w:t>
      </w:r>
    </w:p>
    <w:p w14:paraId="4D55E02B">
      <w:pPr>
        <w:pStyle w:val="10"/>
        <w:numPr>
          <w:ilvl w:val="0"/>
          <w:numId w:val="0"/>
        </w:numPr>
        <w:rPr>
          <w:rFonts w:hint="eastAsia" w:ascii="楷体" w:hAnsi="楷体" w:eastAsia="楷体"/>
          <w:b/>
          <w:color w:val="0070C0"/>
          <w:sz w:val="28"/>
          <w:szCs w:val="28"/>
          <w:lang w:val="en-US" w:eastAsia="zh-CN"/>
        </w:rPr>
      </w:pPr>
      <w:r>
        <w:rPr>
          <w:rFonts w:hint="eastAsia" w:ascii="楷体" w:hAnsi="楷体" w:eastAsia="楷体"/>
          <w:b/>
          <w:color w:val="0070C0"/>
          <w:sz w:val="28"/>
          <w:szCs w:val="28"/>
          <w:lang w:val="en-US" w:eastAsia="zh-CN"/>
        </w:rPr>
        <w:t>1.</w:t>
      </w:r>
      <w:r>
        <w:rPr>
          <w:rFonts w:hint="eastAsia" w:ascii="楷体" w:hAnsi="楷体" w:eastAsia="楷体"/>
          <w:b/>
          <w:color w:val="0070C0"/>
          <w:sz w:val="28"/>
          <w:szCs w:val="28"/>
          <w:lang w:eastAsia="zh-CN"/>
        </w:rPr>
        <w:t>本次报价</w:t>
      </w:r>
      <w:r>
        <w:rPr>
          <w:rFonts w:hint="eastAsia" w:ascii="楷体" w:hAnsi="楷体" w:eastAsia="楷体"/>
          <w:b/>
          <w:color w:val="0070C0"/>
          <w:sz w:val="28"/>
          <w:szCs w:val="28"/>
          <w:lang w:val="en-US" w:eastAsia="zh-CN"/>
        </w:rPr>
        <w:t>按照上述技术内容部分2.2.1第（4）条乙方只负责出人工，备件采购由甲方负责；</w:t>
      </w:r>
    </w:p>
    <w:p w14:paraId="46A97B0E">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en-US" w:eastAsia="zh-CN"/>
        </w:rPr>
        <w:t>2.本次合同签订期限为</w:t>
      </w:r>
      <w:r>
        <w:rPr>
          <w:rFonts w:hint="eastAsia" w:ascii="楷体" w:hAnsi="楷体" w:eastAsia="楷体"/>
          <w:b/>
          <w:color w:val="0070C0"/>
          <w:sz w:val="28"/>
          <w:szCs w:val="28"/>
          <w:lang w:val="en-US" w:eastAsia="zh-CN"/>
          <w14:textFill>
            <w14:gradFill>
              <w14:gsLst>
                <w14:gs w14:pos="42000">
                  <w14:srgbClr w14:val="EC5763"/>
                </w14:gs>
                <w14:gs w14:pos="0">
                  <w14:srgbClr w14:val="F28F97"/>
                </w14:gs>
                <w14:gs w14:pos="100000">
                  <w14:srgbClr w14:val="E51E2E"/>
                </w14:gs>
              </w14:gsLst>
              <w14:lin w14:ang="5400000" w14:scaled="1"/>
            </w14:gradFill>
          </w14:textFill>
        </w:rPr>
        <w:t>1年</w:t>
      </w:r>
      <w:r>
        <w:rPr>
          <w:rFonts w:hint="eastAsia" w:ascii="楷体" w:hAnsi="楷体" w:eastAsia="楷体"/>
          <w:b/>
          <w:color w:val="0070C0"/>
          <w:sz w:val="28"/>
          <w:szCs w:val="28"/>
          <w:lang w:val="en-US" w:eastAsia="zh-CN"/>
        </w:rPr>
        <w:t>，</w:t>
      </w:r>
      <w:r>
        <w:rPr>
          <w:rFonts w:hint="eastAsia" w:ascii="楷体" w:hAnsi="楷体" w:eastAsia="楷体"/>
          <w:b/>
          <w:color w:val="FF0000"/>
          <w:sz w:val="28"/>
          <w:szCs w:val="28"/>
          <w:u w:val="single"/>
          <w:lang w:val="en-US" w:eastAsia="zh-CN"/>
        </w:rPr>
        <w:t>投标截止时间</w:t>
      </w:r>
      <w:r>
        <w:rPr>
          <w:rFonts w:hint="eastAsia" w:ascii="楷体" w:hAnsi="楷体" w:eastAsia="楷体"/>
          <w:b/>
          <w:color w:val="FF0000"/>
          <w:sz w:val="28"/>
          <w:szCs w:val="28"/>
          <w:u w:val="single"/>
          <w:lang w:val="zh-CN" w:eastAsia="zh-CN"/>
        </w:rPr>
        <w:t>202</w:t>
      </w:r>
      <w:r>
        <w:rPr>
          <w:rFonts w:hint="eastAsia" w:ascii="楷体" w:hAnsi="楷体" w:eastAsia="楷体"/>
          <w:b/>
          <w:color w:val="FF0000"/>
          <w:sz w:val="28"/>
          <w:szCs w:val="28"/>
          <w:u w:val="single"/>
          <w:lang w:val="en-US" w:eastAsia="zh-CN"/>
        </w:rPr>
        <w:t>5</w:t>
      </w:r>
      <w:r>
        <w:rPr>
          <w:rFonts w:hint="eastAsia" w:ascii="楷体" w:hAnsi="楷体" w:eastAsia="楷体"/>
          <w:b/>
          <w:color w:val="FF0000"/>
          <w:sz w:val="28"/>
          <w:szCs w:val="28"/>
          <w:u w:val="single"/>
          <w:lang w:val="zh-CN" w:eastAsia="zh-CN"/>
        </w:rPr>
        <w:t>年</w:t>
      </w:r>
      <w:r>
        <w:rPr>
          <w:rFonts w:hint="eastAsia" w:ascii="楷体" w:hAnsi="楷体" w:eastAsia="楷体"/>
          <w:b/>
          <w:color w:val="FF0000"/>
          <w:sz w:val="28"/>
          <w:szCs w:val="28"/>
          <w:u w:val="single"/>
          <w:lang w:val="en-US" w:eastAsia="zh-CN"/>
        </w:rPr>
        <w:t>12</w:t>
      </w:r>
      <w:r>
        <w:rPr>
          <w:rFonts w:hint="eastAsia" w:ascii="楷体" w:hAnsi="楷体" w:eastAsia="楷体"/>
          <w:b/>
          <w:color w:val="FF0000"/>
          <w:sz w:val="28"/>
          <w:szCs w:val="28"/>
          <w:u w:val="single"/>
          <w:lang w:val="zh-CN" w:eastAsia="zh-CN"/>
        </w:rPr>
        <w:t>月</w:t>
      </w:r>
      <w:r>
        <w:rPr>
          <w:rFonts w:hint="eastAsia" w:ascii="楷体" w:hAnsi="楷体" w:eastAsia="楷体"/>
          <w:b/>
          <w:color w:val="FF0000"/>
          <w:sz w:val="28"/>
          <w:szCs w:val="28"/>
          <w:u w:val="single"/>
          <w:lang w:val="en-US" w:eastAsia="zh-CN"/>
        </w:rPr>
        <w:t>15</w:t>
      </w:r>
      <w:r>
        <w:rPr>
          <w:rFonts w:hint="eastAsia" w:ascii="楷体" w:hAnsi="楷体" w:eastAsia="楷体"/>
          <w:b/>
          <w:color w:val="FF0000"/>
          <w:sz w:val="28"/>
          <w:szCs w:val="28"/>
          <w:u w:val="single"/>
          <w:lang w:val="zh-CN" w:eastAsia="zh-CN"/>
        </w:rPr>
        <w:t>日下午</w:t>
      </w:r>
      <w:r>
        <w:rPr>
          <w:rFonts w:hint="eastAsia" w:ascii="楷体" w:hAnsi="楷体" w:eastAsia="楷体"/>
          <w:b/>
          <w:color w:val="FF0000"/>
          <w:sz w:val="28"/>
          <w:szCs w:val="28"/>
          <w:u w:val="single"/>
          <w:lang w:val="en-US" w:eastAsia="zh-CN"/>
        </w:rPr>
        <w:t>5</w:t>
      </w:r>
      <w:r>
        <w:rPr>
          <w:rFonts w:hint="eastAsia" w:ascii="楷体" w:hAnsi="楷体" w:eastAsia="楷体"/>
          <w:b/>
          <w:color w:val="FF0000"/>
          <w:sz w:val="28"/>
          <w:szCs w:val="28"/>
          <w:u w:val="single"/>
          <w:lang w:val="zh-CN" w:eastAsia="zh-CN"/>
        </w:rPr>
        <w:t>点</w:t>
      </w:r>
      <w:r>
        <w:rPr>
          <w:rFonts w:hint="eastAsia" w:ascii="楷体" w:hAnsi="楷体" w:eastAsia="楷体"/>
          <w:b/>
          <w:color w:val="0070C0"/>
          <w:sz w:val="28"/>
          <w:szCs w:val="28"/>
          <w:lang w:val="zh-CN" w:eastAsia="zh-CN"/>
        </w:rPr>
        <w:t>，逾期视为放弃投标。本次招标一次报价，不允许二次报价；报价唯一。</w:t>
      </w:r>
    </w:p>
    <w:p w14:paraId="08CF22E9">
      <w:pPr>
        <w:snapToGrid/>
        <w:spacing w:before="0" w:beforeAutospacing="0" w:after="0" w:afterAutospacing="0" w:line="360" w:lineRule="auto"/>
        <w:jc w:val="both"/>
        <w:textAlignment w:val="baseline"/>
        <w:rPr>
          <w:rFonts w:hint="eastAsia" w:ascii="楷体" w:hAnsi="楷体" w:eastAsia="楷体"/>
          <w:b/>
          <w:color w:val="0070C0"/>
          <w:sz w:val="28"/>
          <w:szCs w:val="28"/>
          <w:lang w:val="en-US" w:eastAsia="zh-CN"/>
        </w:rPr>
      </w:pPr>
      <w:r>
        <w:rPr>
          <w:rFonts w:hint="eastAsia" w:ascii="楷体" w:hAnsi="楷体" w:eastAsia="楷体"/>
          <w:b/>
          <w:color w:val="0070C0"/>
          <w:sz w:val="28"/>
          <w:szCs w:val="28"/>
          <w:lang w:val="en-US" w:eastAsia="zh-CN"/>
        </w:rPr>
        <w:t>3.投标人应符合下列条件</w:t>
      </w:r>
    </w:p>
    <w:p w14:paraId="2AC5749B">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zh-CN" w:eastAsia="zh-CN"/>
        </w:rPr>
        <w:t>投标文件中应包括以下资料：法定代表人授权书（适用于非法定代表人投标的情况）、资质证副本复印件、安全生产许可证复印件、营业执照副本复印件、税务登记证副本复印件、三证合一的营业执照复印件、相关业绩证明资料及拟参加</w:t>
      </w:r>
      <w:r>
        <w:rPr>
          <w:rFonts w:hint="eastAsia" w:ascii="楷体" w:hAnsi="楷体" w:eastAsia="楷体"/>
          <w:b/>
          <w:color w:val="0070C0"/>
          <w:sz w:val="28"/>
          <w:szCs w:val="28"/>
          <w:lang w:val="en-US" w:eastAsia="zh-CN"/>
        </w:rPr>
        <w:t>维保</w:t>
      </w:r>
      <w:r>
        <w:rPr>
          <w:rFonts w:hint="eastAsia" w:ascii="楷体" w:hAnsi="楷体" w:eastAsia="楷体"/>
          <w:b/>
          <w:color w:val="0070C0"/>
          <w:sz w:val="28"/>
          <w:szCs w:val="28"/>
          <w:lang w:val="zh-CN" w:eastAsia="zh-CN"/>
        </w:rPr>
        <w:t>相关人员资料。上述材料应加盖投标人公章，并在必要时提供原件及扫描件以备查证。</w:t>
      </w:r>
      <w:r>
        <w:rPr>
          <w:rFonts w:hint="eastAsia" w:ascii="楷体" w:hAnsi="楷体" w:eastAsia="楷体"/>
          <w:b/>
          <w:color w:val="FF0000"/>
          <w:sz w:val="28"/>
          <w:szCs w:val="28"/>
          <w:u w:val="single"/>
          <w:lang w:val="zh-CN" w:eastAsia="zh-CN"/>
        </w:rPr>
        <w:t>投标文件采取电子版(U盘或光盘)和纸质文件两种方式</w:t>
      </w:r>
      <w:r>
        <w:rPr>
          <w:rFonts w:hint="eastAsia" w:ascii="楷体" w:hAnsi="楷体" w:eastAsia="楷体"/>
          <w:b/>
          <w:color w:val="0070C0"/>
          <w:sz w:val="28"/>
          <w:szCs w:val="28"/>
          <w:lang w:val="zh-CN" w:eastAsia="zh-CN"/>
        </w:rPr>
        <w:t>。具体要求如下：</w:t>
      </w:r>
    </w:p>
    <w:p w14:paraId="45E7377D">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zh-CN" w:eastAsia="zh-CN"/>
        </w:rPr>
        <w:t xml:space="preserve">1 具有独立法人资格，并且本次招标内容在其资质许可范围以内； </w:t>
      </w:r>
    </w:p>
    <w:p w14:paraId="29581005">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zh-CN" w:eastAsia="zh-CN"/>
        </w:rPr>
        <w:t>2 具有良好的企业社会信誉，财务状况良好；</w:t>
      </w:r>
    </w:p>
    <w:p w14:paraId="75672C06">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zh-CN" w:eastAsia="zh-CN"/>
        </w:rPr>
        <w:t>3 近3年无任何违法和重大违约行为；</w:t>
      </w:r>
    </w:p>
    <w:p w14:paraId="73EF5F74">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en-US" w:eastAsia="zh-CN"/>
        </w:rPr>
        <w:t>4</w:t>
      </w:r>
      <w:r>
        <w:rPr>
          <w:rFonts w:hint="eastAsia" w:ascii="楷体" w:hAnsi="楷体" w:eastAsia="楷体"/>
          <w:b/>
          <w:color w:val="0070C0"/>
          <w:sz w:val="28"/>
          <w:szCs w:val="28"/>
          <w:lang w:val="zh-CN" w:eastAsia="zh-CN"/>
        </w:rPr>
        <w:t>相关的作业资质证明、</w:t>
      </w:r>
      <w:r>
        <w:rPr>
          <w:rFonts w:hint="eastAsia" w:ascii="楷体" w:hAnsi="楷体" w:eastAsia="楷体"/>
          <w:b/>
          <w:color w:val="0070C0"/>
          <w:sz w:val="28"/>
          <w:szCs w:val="28"/>
          <w:lang w:val="en-US" w:eastAsia="zh-CN"/>
        </w:rPr>
        <w:t>特种作业人员操作证书</w:t>
      </w:r>
      <w:r>
        <w:rPr>
          <w:rFonts w:hint="eastAsia" w:ascii="楷体" w:hAnsi="楷体" w:eastAsia="楷体"/>
          <w:b/>
          <w:color w:val="0070C0"/>
          <w:sz w:val="28"/>
          <w:szCs w:val="28"/>
          <w:lang w:val="zh-CN" w:eastAsia="zh-CN"/>
        </w:rPr>
        <w:t>；</w:t>
      </w:r>
    </w:p>
    <w:p w14:paraId="66AF9B17">
      <w:pPr>
        <w:snapToGrid/>
        <w:spacing w:before="0" w:beforeAutospacing="0" w:after="0" w:afterAutospacing="0" w:line="360" w:lineRule="auto"/>
        <w:jc w:val="both"/>
        <w:textAlignment w:val="baseline"/>
        <w:rPr>
          <w:rFonts w:hint="eastAsia" w:ascii="楷体" w:hAnsi="楷体" w:eastAsia="楷体"/>
          <w:b/>
          <w:color w:val="0070C0"/>
          <w:sz w:val="28"/>
          <w:szCs w:val="28"/>
          <w:lang w:val="zh-CN" w:eastAsia="zh-CN"/>
        </w:rPr>
      </w:pPr>
      <w:r>
        <w:rPr>
          <w:rFonts w:hint="eastAsia" w:ascii="楷体" w:hAnsi="楷体" w:eastAsia="楷体"/>
          <w:b/>
          <w:color w:val="0070C0"/>
          <w:sz w:val="28"/>
          <w:szCs w:val="28"/>
          <w:lang w:val="en-US" w:eastAsia="zh-CN"/>
        </w:rPr>
        <w:t>5</w:t>
      </w:r>
      <w:r>
        <w:rPr>
          <w:rFonts w:hint="eastAsia" w:ascii="楷体" w:hAnsi="楷体" w:eastAsia="楷体"/>
          <w:b/>
          <w:color w:val="0070C0"/>
          <w:sz w:val="28"/>
          <w:szCs w:val="28"/>
          <w:lang w:val="zh-CN" w:eastAsia="zh-CN"/>
        </w:rPr>
        <w:t>三年内相关业绩证明。</w:t>
      </w:r>
    </w:p>
    <w:p w14:paraId="3F1F1352">
      <w:pPr>
        <w:snapToGrid/>
        <w:spacing w:before="0" w:beforeAutospacing="0" w:after="0" w:afterAutospacing="0" w:line="360" w:lineRule="auto"/>
        <w:ind w:firstLine="1124" w:firstLineChars="200"/>
        <w:jc w:val="left"/>
        <w:textAlignment w:val="baseline"/>
        <w:rPr>
          <w:rStyle w:val="13"/>
          <w:rFonts w:ascii="宋体" w:hAnsi="宋体"/>
          <w:b/>
          <w:bCs/>
          <w:i w:val="0"/>
          <w:caps w:val="0"/>
          <w:color w:val="0000FF"/>
          <w:spacing w:val="0"/>
          <w:w w:val="100"/>
          <w:kern w:val="2"/>
          <w:sz w:val="56"/>
          <w:szCs w:val="56"/>
          <w:lang w:val="en-US" w:eastAsia="zh-CN" w:bidi="ar-SA"/>
        </w:rPr>
      </w:pPr>
      <w:r>
        <w:rPr>
          <w:rStyle w:val="13"/>
          <w:rFonts w:ascii="宋体" w:hAnsi="宋体"/>
          <w:b/>
          <w:bCs/>
          <w:i w:val="0"/>
          <w:caps w:val="0"/>
          <w:color w:val="0000FF"/>
          <w:spacing w:val="0"/>
          <w:w w:val="100"/>
          <w:kern w:val="2"/>
          <w:sz w:val="56"/>
          <w:szCs w:val="56"/>
          <w:lang w:val="en-US" w:eastAsia="zh-CN" w:bidi="ar-SA"/>
        </w:rPr>
        <w:t>必须</w:t>
      </w:r>
      <w:r>
        <w:rPr>
          <w:rStyle w:val="13"/>
          <w:rFonts w:hint="eastAsia" w:ascii="宋体" w:hAnsi="宋体"/>
          <w:b/>
          <w:bCs/>
          <w:i w:val="0"/>
          <w:caps w:val="0"/>
          <w:color w:val="0000FF"/>
          <w:spacing w:val="0"/>
          <w:w w:val="100"/>
          <w:kern w:val="2"/>
          <w:sz w:val="56"/>
          <w:szCs w:val="56"/>
          <w:lang w:val="en-US" w:eastAsia="zh-CN" w:bidi="ar-SA"/>
        </w:rPr>
        <w:t>严格按照以下</w:t>
      </w:r>
      <w:r>
        <w:rPr>
          <w:rStyle w:val="13"/>
          <w:rFonts w:ascii="宋体" w:hAnsi="宋体"/>
          <w:b/>
          <w:bCs/>
          <w:i w:val="0"/>
          <w:caps w:val="0"/>
          <w:color w:val="0000FF"/>
          <w:spacing w:val="0"/>
          <w:w w:val="100"/>
          <w:kern w:val="2"/>
          <w:sz w:val="56"/>
          <w:szCs w:val="56"/>
          <w:lang w:val="en-US" w:eastAsia="zh-CN" w:bidi="ar-SA"/>
        </w:rPr>
        <w:t>表格形式打印</w:t>
      </w:r>
      <w:r>
        <w:rPr>
          <w:rStyle w:val="13"/>
          <w:rFonts w:hint="eastAsia" w:ascii="宋体" w:hAnsi="宋体"/>
          <w:b/>
          <w:bCs/>
          <w:i w:val="0"/>
          <w:caps w:val="0"/>
          <w:color w:val="0000FF"/>
          <w:spacing w:val="0"/>
          <w:w w:val="100"/>
          <w:kern w:val="2"/>
          <w:sz w:val="56"/>
          <w:szCs w:val="56"/>
          <w:lang w:val="en-US" w:eastAsia="zh-CN" w:bidi="ar-SA"/>
        </w:rPr>
        <w:t>报价单</w:t>
      </w:r>
      <w:r>
        <w:rPr>
          <w:rStyle w:val="13"/>
          <w:rFonts w:ascii="宋体" w:hAnsi="宋体"/>
          <w:b/>
          <w:bCs/>
          <w:i w:val="0"/>
          <w:caps w:val="0"/>
          <w:color w:val="0000FF"/>
          <w:spacing w:val="0"/>
          <w:w w:val="100"/>
          <w:kern w:val="2"/>
          <w:sz w:val="56"/>
          <w:szCs w:val="56"/>
          <w:lang w:val="en-US" w:eastAsia="zh-CN" w:bidi="ar-SA"/>
        </w:rPr>
        <w:t>及上报</w:t>
      </w:r>
      <w:r>
        <w:rPr>
          <w:rStyle w:val="13"/>
          <w:rFonts w:hint="eastAsia" w:ascii="宋体" w:hAnsi="宋体"/>
          <w:b/>
          <w:bCs/>
          <w:i w:val="0"/>
          <w:caps w:val="0"/>
          <w:color w:val="0000FF"/>
          <w:spacing w:val="0"/>
          <w:w w:val="100"/>
          <w:kern w:val="2"/>
          <w:sz w:val="56"/>
          <w:szCs w:val="56"/>
          <w:highlight w:val="red"/>
          <w:lang w:val="en-US" w:eastAsia="zh-CN" w:bidi="ar-SA"/>
        </w:rPr>
        <w:t>加密</w:t>
      </w:r>
      <w:r>
        <w:rPr>
          <w:rStyle w:val="13"/>
          <w:rFonts w:ascii="宋体" w:hAnsi="宋体"/>
          <w:b/>
          <w:bCs/>
          <w:i w:val="0"/>
          <w:caps w:val="0"/>
          <w:color w:val="0000FF"/>
          <w:spacing w:val="0"/>
          <w:w w:val="100"/>
          <w:kern w:val="2"/>
          <w:sz w:val="56"/>
          <w:szCs w:val="56"/>
          <w:lang w:val="en-US" w:eastAsia="zh-CN" w:bidi="ar-SA"/>
        </w:rPr>
        <w:t>电子版</w:t>
      </w:r>
      <w:r>
        <w:rPr>
          <w:rStyle w:val="13"/>
          <w:rFonts w:hint="eastAsia" w:ascii="宋体" w:hAnsi="宋体"/>
          <w:b/>
          <w:bCs/>
          <w:i w:val="0"/>
          <w:caps w:val="0"/>
          <w:color w:val="0000FF"/>
          <w:spacing w:val="0"/>
          <w:w w:val="100"/>
          <w:kern w:val="2"/>
          <w:sz w:val="56"/>
          <w:szCs w:val="56"/>
          <w:lang w:val="en-US" w:eastAsia="zh-CN" w:bidi="ar-SA"/>
        </w:rPr>
        <w:t>报价单，不加密视为无效投标文件，取消投标资格</w:t>
      </w:r>
      <w:r>
        <w:rPr>
          <w:rStyle w:val="13"/>
          <w:rFonts w:ascii="宋体" w:hAnsi="宋体"/>
          <w:b/>
          <w:bCs/>
          <w:i w:val="0"/>
          <w:caps w:val="0"/>
          <w:color w:val="0000FF"/>
          <w:spacing w:val="0"/>
          <w:w w:val="100"/>
          <w:kern w:val="2"/>
          <w:sz w:val="56"/>
          <w:szCs w:val="56"/>
          <w:lang w:val="en-US" w:eastAsia="zh-CN" w:bidi="ar-SA"/>
        </w:rPr>
        <w:t>。</w:t>
      </w:r>
    </w:p>
    <w:p w14:paraId="4E3FEB2D">
      <w:pPr>
        <w:pStyle w:val="2"/>
        <w:ind w:firstLine="1124" w:firstLineChars="200"/>
        <w:rPr>
          <w:rFonts w:hint="default" w:eastAsiaTheme="minorEastAsia"/>
          <w:lang w:val="en-US" w:eastAsia="zh-CN"/>
        </w:rPr>
      </w:pPr>
      <w:r>
        <w:rPr>
          <w:rStyle w:val="13"/>
          <w:rFonts w:hint="eastAsia" w:ascii="宋体" w:hAnsi="宋体"/>
          <w:b/>
          <w:bCs/>
          <w:i w:val="0"/>
          <w:caps w:val="0"/>
          <w:color w:val="0000FF"/>
          <w:spacing w:val="0"/>
          <w:w w:val="100"/>
          <w:kern w:val="2"/>
          <w:sz w:val="56"/>
          <w:szCs w:val="56"/>
          <w:lang w:val="en-US" w:eastAsia="zh-CN" w:bidi="ar-SA"/>
        </w:rPr>
        <w:t>资质文件电子版与报价电子版一并发送至475605474@qq.com，请注明</w:t>
      </w:r>
      <w:r>
        <w:rPr>
          <w:rStyle w:val="13"/>
          <w:rFonts w:hint="eastAsia" w:ascii="宋体" w:hAnsi="宋体"/>
          <w:b/>
          <w:bCs/>
          <w:i w:val="0"/>
          <w:caps w:val="0"/>
          <w:color w:val="0000FF"/>
          <w:spacing w:val="0"/>
          <w:w w:val="100"/>
          <w:sz w:val="56"/>
          <w:szCs w:val="56"/>
          <w:highlight w:val="red"/>
          <w:lang w:val="en-US" w:eastAsia="zh-CN"/>
        </w:rPr>
        <w:t>投标单位及联系人、联系方式</w:t>
      </w:r>
      <w:r>
        <w:rPr>
          <w:rStyle w:val="13"/>
          <w:rFonts w:hint="eastAsia" w:ascii="宋体" w:hAnsi="宋体"/>
          <w:b/>
          <w:bCs/>
          <w:i w:val="0"/>
          <w:caps w:val="0"/>
          <w:color w:val="0000FF"/>
          <w:spacing w:val="0"/>
          <w:w w:val="100"/>
          <w:kern w:val="2"/>
          <w:sz w:val="56"/>
          <w:szCs w:val="56"/>
          <w:lang w:val="en-US" w:eastAsia="zh-CN" w:bidi="ar-SA"/>
        </w:rPr>
        <w:t>，密码待开标时现场统一电话问询。</w:t>
      </w:r>
    </w:p>
    <w:p w14:paraId="393188B1">
      <w:pPr>
        <w:pStyle w:val="2"/>
        <w:rPr>
          <w:rFonts w:hint="default"/>
          <w:lang w:val="en-US" w:eastAsia="zh-CN"/>
        </w:rPr>
      </w:pPr>
    </w:p>
    <w:p w14:paraId="338ECFDA">
      <w:pPr>
        <w:pStyle w:val="10"/>
        <w:numPr>
          <w:ilvl w:val="0"/>
          <w:numId w:val="0"/>
        </w:numPr>
        <w:rPr>
          <w:rFonts w:hint="eastAsia" w:ascii="楷体" w:hAnsi="楷体" w:eastAsia="楷体"/>
          <w:b/>
          <w:sz w:val="36"/>
          <w:szCs w:val="36"/>
          <w:lang w:val="en-US" w:eastAsia="zh-CN"/>
        </w:rPr>
      </w:pPr>
      <w:r>
        <w:rPr>
          <w:rFonts w:hint="eastAsia" w:ascii="楷体" w:hAnsi="楷体" w:eastAsia="楷体"/>
          <w:b/>
          <w:sz w:val="36"/>
          <w:szCs w:val="36"/>
          <w:lang w:val="en-US" w:eastAsia="zh-CN"/>
        </w:rPr>
        <w:t xml:space="preserve">              </w:t>
      </w:r>
    </w:p>
    <w:p w14:paraId="7C696318">
      <w:pPr>
        <w:pStyle w:val="10"/>
        <w:numPr>
          <w:ilvl w:val="0"/>
          <w:numId w:val="0"/>
        </w:numPr>
        <w:rPr>
          <w:rFonts w:hint="eastAsia" w:ascii="楷体" w:hAnsi="楷体" w:eastAsia="楷体"/>
          <w:b/>
          <w:sz w:val="36"/>
          <w:szCs w:val="36"/>
          <w:lang w:val="en-US" w:eastAsia="zh-CN"/>
        </w:rPr>
      </w:pPr>
    </w:p>
    <w:p w14:paraId="5609B27B">
      <w:pPr>
        <w:pStyle w:val="10"/>
        <w:numPr>
          <w:ilvl w:val="0"/>
          <w:numId w:val="0"/>
        </w:numPr>
        <w:rPr>
          <w:rFonts w:hint="eastAsia" w:ascii="楷体" w:hAnsi="楷体" w:eastAsia="楷体"/>
          <w:b/>
          <w:sz w:val="36"/>
          <w:szCs w:val="36"/>
          <w:lang w:val="en-US" w:eastAsia="zh-CN"/>
        </w:rPr>
      </w:pPr>
    </w:p>
    <w:p w14:paraId="6FAFA85C">
      <w:pPr>
        <w:pStyle w:val="10"/>
        <w:numPr>
          <w:ilvl w:val="0"/>
          <w:numId w:val="0"/>
        </w:numPr>
        <w:rPr>
          <w:rFonts w:hint="eastAsia" w:ascii="楷体" w:hAnsi="楷体" w:eastAsia="楷体"/>
          <w:b/>
          <w:sz w:val="36"/>
          <w:szCs w:val="36"/>
          <w:lang w:val="en-US" w:eastAsia="zh-CN"/>
        </w:rPr>
      </w:pPr>
      <w:r>
        <w:rPr>
          <w:rFonts w:hint="eastAsia" w:ascii="楷体" w:hAnsi="楷体" w:eastAsia="楷体"/>
          <w:b/>
          <w:sz w:val="36"/>
          <w:szCs w:val="36"/>
          <w:lang w:val="en-US" w:eastAsia="zh-CN"/>
        </w:rPr>
        <w:t>附表报价单：见下一页</w:t>
      </w:r>
    </w:p>
    <w:p w14:paraId="75C37A9A">
      <w:pPr>
        <w:pStyle w:val="10"/>
        <w:numPr>
          <w:ilvl w:val="0"/>
          <w:numId w:val="0"/>
        </w:numPr>
        <w:ind w:firstLine="2530" w:firstLineChars="700"/>
        <w:rPr>
          <w:rFonts w:hint="eastAsia" w:ascii="楷体" w:hAnsi="楷体" w:eastAsia="楷体"/>
          <w:b/>
          <w:sz w:val="36"/>
          <w:szCs w:val="36"/>
          <w:lang w:val="en-US" w:eastAsia="zh-CN"/>
        </w:rPr>
      </w:pPr>
      <w:r>
        <w:rPr>
          <w:rFonts w:hint="eastAsia" w:ascii="楷体" w:hAnsi="楷体" w:eastAsia="楷体"/>
          <w:b/>
          <w:sz w:val="36"/>
          <w:szCs w:val="36"/>
          <w:lang w:val="en-US" w:eastAsia="zh-CN"/>
        </w:rPr>
        <w:t xml:space="preserve">  </w:t>
      </w:r>
    </w:p>
    <w:p w14:paraId="29C2E996">
      <w:pPr>
        <w:pStyle w:val="10"/>
        <w:numPr>
          <w:ilvl w:val="0"/>
          <w:numId w:val="0"/>
        </w:numPr>
        <w:ind w:firstLine="2530" w:firstLineChars="700"/>
        <w:rPr>
          <w:rFonts w:hint="eastAsia" w:ascii="楷体" w:hAnsi="楷体" w:eastAsia="楷体"/>
          <w:b/>
          <w:sz w:val="36"/>
          <w:szCs w:val="36"/>
          <w:lang w:val="en-US" w:eastAsia="zh-CN"/>
        </w:rPr>
      </w:pPr>
    </w:p>
    <w:p w14:paraId="7410A799">
      <w:pPr>
        <w:pStyle w:val="10"/>
        <w:numPr>
          <w:ilvl w:val="0"/>
          <w:numId w:val="0"/>
        </w:numPr>
        <w:ind w:firstLine="2530" w:firstLineChars="700"/>
        <w:rPr>
          <w:rFonts w:hint="eastAsia" w:ascii="楷体" w:hAnsi="楷体" w:eastAsia="楷体"/>
          <w:b/>
          <w:sz w:val="36"/>
          <w:szCs w:val="36"/>
          <w:lang w:val="en-US" w:eastAsia="zh-CN"/>
        </w:rPr>
      </w:pPr>
    </w:p>
    <w:p w14:paraId="03007432">
      <w:pPr>
        <w:pStyle w:val="10"/>
        <w:numPr>
          <w:ilvl w:val="0"/>
          <w:numId w:val="0"/>
        </w:numPr>
        <w:ind w:firstLine="2530" w:firstLineChars="700"/>
        <w:rPr>
          <w:rFonts w:hint="eastAsia" w:ascii="楷体" w:hAnsi="楷体" w:eastAsia="楷体"/>
          <w:b/>
          <w:sz w:val="36"/>
          <w:szCs w:val="36"/>
          <w:lang w:val="en-US" w:eastAsia="zh-CN"/>
        </w:rPr>
      </w:pPr>
    </w:p>
    <w:p w14:paraId="12D19845">
      <w:pPr>
        <w:pStyle w:val="10"/>
        <w:numPr>
          <w:ilvl w:val="0"/>
          <w:numId w:val="0"/>
        </w:numPr>
        <w:ind w:firstLine="2530" w:firstLineChars="700"/>
        <w:rPr>
          <w:rFonts w:hint="eastAsia" w:ascii="楷体" w:hAnsi="楷体" w:eastAsia="楷体"/>
          <w:b/>
          <w:sz w:val="36"/>
          <w:szCs w:val="36"/>
          <w:lang w:val="en-US" w:eastAsia="zh-CN"/>
        </w:rPr>
      </w:pPr>
    </w:p>
    <w:p w14:paraId="34E0EE80">
      <w:pPr>
        <w:pStyle w:val="10"/>
        <w:numPr>
          <w:ilvl w:val="0"/>
          <w:numId w:val="0"/>
        </w:numPr>
        <w:ind w:firstLine="2530" w:firstLineChars="700"/>
        <w:rPr>
          <w:rFonts w:hint="eastAsia" w:ascii="楷体" w:hAnsi="楷体" w:eastAsia="楷体"/>
          <w:b/>
          <w:sz w:val="36"/>
          <w:szCs w:val="36"/>
          <w:lang w:val="en-US" w:eastAsia="zh-CN"/>
        </w:rPr>
      </w:pPr>
    </w:p>
    <w:p w14:paraId="311F2115">
      <w:pPr>
        <w:pStyle w:val="10"/>
        <w:numPr>
          <w:ilvl w:val="0"/>
          <w:numId w:val="0"/>
        </w:numPr>
        <w:ind w:firstLine="2530" w:firstLineChars="700"/>
        <w:rPr>
          <w:rFonts w:hint="eastAsia" w:ascii="楷体" w:hAnsi="楷体" w:eastAsia="楷体"/>
          <w:b/>
          <w:sz w:val="36"/>
          <w:szCs w:val="36"/>
          <w:lang w:val="en-US" w:eastAsia="zh-CN"/>
        </w:rPr>
      </w:pPr>
    </w:p>
    <w:p w14:paraId="15283212">
      <w:pPr>
        <w:pStyle w:val="10"/>
        <w:numPr>
          <w:ilvl w:val="0"/>
          <w:numId w:val="0"/>
        </w:numPr>
        <w:ind w:firstLine="2530" w:firstLineChars="700"/>
        <w:rPr>
          <w:rFonts w:hint="eastAsia" w:ascii="楷体" w:hAnsi="楷体" w:eastAsia="楷体"/>
          <w:b/>
          <w:sz w:val="36"/>
          <w:szCs w:val="36"/>
          <w:lang w:val="en-US" w:eastAsia="zh-CN"/>
        </w:rPr>
      </w:pPr>
    </w:p>
    <w:p w14:paraId="6F887E8A">
      <w:pPr>
        <w:pStyle w:val="10"/>
        <w:numPr>
          <w:ilvl w:val="0"/>
          <w:numId w:val="0"/>
        </w:numPr>
        <w:ind w:firstLine="2530" w:firstLineChars="700"/>
        <w:rPr>
          <w:rFonts w:hint="eastAsia" w:ascii="楷体" w:hAnsi="楷体" w:eastAsia="楷体"/>
          <w:b/>
          <w:sz w:val="36"/>
          <w:szCs w:val="36"/>
          <w:lang w:val="en-US" w:eastAsia="zh-CN"/>
        </w:rPr>
      </w:pPr>
    </w:p>
    <w:p w14:paraId="6F466C87">
      <w:pPr>
        <w:pStyle w:val="10"/>
        <w:numPr>
          <w:ilvl w:val="0"/>
          <w:numId w:val="0"/>
        </w:numPr>
        <w:rPr>
          <w:rFonts w:hint="eastAsia" w:ascii="楷体" w:hAnsi="楷体" w:eastAsia="楷体"/>
          <w:b/>
          <w:sz w:val="36"/>
          <w:szCs w:val="36"/>
          <w:lang w:val="en-US" w:eastAsia="zh-CN"/>
        </w:rPr>
      </w:pPr>
    </w:p>
    <w:p w14:paraId="23F49F1E">
      <w:pPr>
        <w:pStyle w:val="10"/>
        <w:numPr>
          <w:ilvl w:val="0"/>
          <w:numId w:val="0"/>
        </w:numPr>
        <w:rPr>
          <w:rFonts w:hint="eastAsia" w:ascii="楷体" w:hAnsi="楷体" w:eastAsia="楷体"/>
          <w:b/>
          <w:sz w:val="36"/>
          <w:szCs w:val="36"/>
          <w:lang w:val="en-US" w:eastAsia="zh-CN"/>
        </w:rPr>
      </w:pPr>
    </w:p>
    <w:p w14:paraId="33E393D4">
      <w:pPr>
        <w:pStyle w:val="10"/>
        <w:numPr>
          <w:ilvl w:val="0"/>
          <w:numId w:val="0"/>
        </w:numPr>
        <w:rPr>
          <w:rFonts w:hint="default" w:ascii="楷体" w:hAnsi="楷体" w:eastAsia="楷体"/>
          <w:b/>
          <w:sz w:val="36"/>
          <w:szCs w:val="36"/>
          <w:lang w:val="en-US" w:eastAsia="zh-CN"/>
        </w:rPr>
      </w:pPr>
      <w:r>
        <w:rPr>
          <w:rFonts w:hint="eastAsia" w:ascii="楷体" w:hAnsi="楷体" w:eastAsia="楷体"/>
          <w:b/>
          <w:sz w:val="36"/>
          <w:szCs w:val="36"/>
          <w:lang w:val="en-US" w:eastAsia="zh-CN"/>
        </w:rPr>
        <w:t>附表：报价单</w:t>
      </w:r>
    </w:p>
    <w:p w14:paraId="61921709">
      <w:pPr>
        <w:pStyle w:val="10"/>
        <w:numPr>
          <w:ilvl w:val="0"/>
          <w:numId w:val="0"/>
        </w:numPr>
        <w:ind w:firstLine="3614" w:firstLineChars="1000"/>
        <w:rPr>
          <w:rFonts w:hint="default" w:ascii="楷体" w:hAnsi="楷体" w:eastAsia="楷体"/>
          <w:b/>
          <w:sz w:val="36"/>
          <w:szCs w:val="36"/>
          <w:lang w:val="en-US" w:eastAsia="zh-CN"/>
        </w:rPr>
      </w:pPr>
      <w:r>
        <w:rPr>
          <w:rFonts w:hint="eastAsia" w:ascii="楷体" w:hAnsi="楷体" w:eastAsia="楷体"/>
          <w:b/>
          <w:sz w:val="36"/>
          <w:szCs w:val="36"/>
          <w:lang w:val="en-US" w:eastAsia="zh-CN"/>
        </w:rPr>
        <w:t>报价单（仅人工）</w:t>
      </w:r>
    </w:p>
    <w:tbl>
      <w:tblPr>
        <w:tblStyle w:val="6"/>
        <w:tblW w:w="9671" w:type="dxa"/>
        <w:jc w:val="center"/>
        <w:tblLayout w:type="fixed"/>
        <w:tblCellMar>
          <w:top w:w="0" w:type="dxa"/>
          <w:left w:w="108" w:type="dxa"/>
          <w:bottom w:w="0" w:type="dxa"/>
          <w:right w:w="108" w:type="dxa"/>
        </w:tblCellMar>
      </w:tblPr>
      <w:tblGrid>
        <w:gridCol w:w="507"/>
        <w:gridCol w:w="952"/>
        <w:gridCol w:w="1623"/>
        <w:gridCol w:w="793"/>
        <w:gridCol w:w="978"/>
        <w:gridCol w:w="1817"/>
        <w:gridCol w:w="1868"/>
        <w:gridCol w:w="1133"/>
      </w:tblGrid>
      <w:tr w14:paraId="726E2D2D">
        <w:tblPrEx>
          <w:tblCellMar>
            <w:top w:w="0" w:type="dxa"/>
            <w:left w:w="108" w:type="dxa"/>
            <w:bottom w:w="0" w:type="dxa"/>
            <w:right w:w="108" w:type="dxa"/>
          </w:tblCellMar>
        </w:tblPrEx>
        <w:trPr>
          <w:trHeight w:val="434"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4A3D17EC">
            <w:pPr>
              <w:rPr>
                <w:rFonts w:ascii="楷体" w:hAnsi="楷体" w:eastAsia="楷体" w:cs="宋体"/>
                <w:b/>
                <w:sz w:val="24"/>
                <w:szCs w:val="24"/>
              </w:rPr>
            </w:pPr>
            <w:r>
              <w:rPr>
                <w:rFonts w:hint="eastAsia" w:ascii="楷体" w:hAnsi="楷体" w:eastAsia="楷体" w:cs="宋体"/>
                <w:b/>
                <w:sz w:val="24"/>
                <w:szCs w:val="24"/>
              </w:rPr>
              <w:t>序号</w:t>
            </w:r>
          </w:p>
        </w:tc>
        <w:tc>
          <w:tcPr>
            <w:tcW w:w="952" w:type="dxa"/>
            <w:tcBorders>
              <w:top w:val="single" w:color="auto" w:sz="4" w:space="0"/>
              <w:left w:val="nil"/>
              <w:bottom w:val="single" w:color="auto" w:sz="4" w:space="0"/>
              <w:right w:val="single" w:color="auto" w:sz="4" w:space="0"/>
            </w:tcBorders>
            <w:shd w:val="clear" w:color="auto" w:fill="auto"/>
            <w:vAlign w:val="center"/>
          </w:tcPr>
          <w:p w14:paraId="2ACF466E">
            <w:pPr>
              <w:rPr>
                <w:rFonts w:ascii="楷体" w:hAnsi="楷体" w:eastAsia="楷体" w:cs="宋体"/>
                <w:b/>
                <w:sz w:val="24"/>
                <w:szCs w:val="24"/>
              </w:rPr>
            </w:pPr>
            <w:r>
              <w:rPr>
                <w:rFonts w:hint="eastAsia" w:ascii="楷体" w:hAnsi="楷体" w:eastAsia="楷体" w:cs="宋体"/>
                <w:b/>
                <w:sz w:val="24"/>
                <w:szCs w:val="24"/>
              </w:rPr>
              <w:t>区域</w:t>
            </w:r>
          </w:p>
        </w:tc>
        <w:tc>
          <w:tcPr>
            <w:tcW w:w="1623" w:type="dxa"/>
            <w:tcBorders>
              <w:top w:val="single" w:color="auto" w:sz="4" w:space="0"/>
              <w:left w:val="nil"/>
              <w:bottom w:val="single" w:color="auto" w:sz="4" w:space="0"/>
              <w:right w:val="single" w:color="auto" w:sz="4" w:space="0"/>
            </w:tcBorders>
            <w:shd w:val="clear" w:color="auto" w:fill="auto"/>
            <w:vAlign w:val="center"/>
          </w:tcPr>
          <w:p w14:paraId="76A4AFD8">
            <w:pPr>
              <w:rPr>
                <w:rFonts w:hint="eastAsia" w:ascii="楷体" w:hAnsi="楷体" w:eastAsia="楷体" w:cs="宋体"/>
                <w:b/>
                <w:sz w:val="24"/>
                <w:szCs w:val="24"/>
                <w:lang w:eastAsia="zh-CN"/>
              </w:rPr>
            </w:pPr>
            <w:r>
              <w:rPr>
                <w:rFonts w:hint="eastAsia" w:ascii="楷体" w:hAnsi="楷体" w:eastAsia="楷体" w:cs="宋体"/>
                <w:b/>
                <w:sz w:val="24"/>
                <w:szCs w:val="24"/>
              </w:rPr>
              <w:t>起重机</w:t>
            </w:r>
            <w:r>
              <w:rPr>
                <w:rFonts w:hint="eastAsia" w:ascii="楷体" w:hAnsi="楷体" w:eastAsia="楷体" w:cs="宋体"/>
                <w:b/>
                <w:sz w:val="24"/>
                <w:szCs w:val="24"/>
                <w:lang w:eastAsia="zh-CN"/>
              </w:rPr>
              <w:t>型号</w:t>
            </w:r>
          </w:p>
        </w:tc>
        <w:tc>
          <w:tcPr>
            <w:tcW w:w="793" w:type="dxa"/>
            <w:tcBorders>
              <w:top w:val="single" w:color="auto" w:sz="4" w:space="0"/>
              <w:left w:val="nil"/>
              <w:bottom w:val="single" w:color="auto" w:sz="4" w:space="0"/>
              <w:right w:val="single" w:color="auto" w:sz="4" w:space="0"/>
            </w:tcBorders>
            <w:shd w:val="clear" w:color="auto" w:fill="auto"/>
            <w:vAlign w:val="center"/>
          </w:tcPr>
          <w:p w14:paraId="29947F0C">
            <w:pPr>
              <w:rPr>
                <w:rFonts w:ascii="楷体" w:hAnsi="楷体" w:eastAsia="楷体" w:cs="宋体"/>
                <w:b/>
                <w:sz w:val="24"/>
                <w:szCs w:val="24"/>
              </w:rPr>
            </w:pPr>
            <w:r>
              <w:rPr>
                <w:rFonts w:hint="eastAsia" w:ascii="楷体" w:hAnsi="楷体" w:eastAsia="楷体" w:cs="宋体"/>
                <w:b/>
                <w:sz w:val="24"/>
                <w:szCs w:val="24"/>
              </w:rPr>
              <w:t>工作级别</w:t>
            </w:r>
          </w:p>
        </w:tc>
        <w:tc>
          <w:tcPr>
            <w:tcW w:w="978" w:type="dxa"/>
            <w:tcBorders>
              <w:top w:val="single" w:color="auto" w:sz="4" w:space="0"/>
              <w:left w:val="nil"/>
              <w:bottom w:val="single" w:color="auto" w:sz="4" w:space="0"/>
              <w:right w:val="single" w:color="auto" w:sz="4" w:space="0"/>
            </w:tcBorders>
            <w:shd w:val="clear" w:color="auto" w:fill="auto"/>
            <w:vAlign w:val="center"/>
          </w:tcPr>
          <w:p w14:paraId="074C9193">
            <w:pPr>
              <w:rPr>
                <w:rFonts w:ascii="楷体" w:hAnsi="楷体" w:eastAsia="楷体" w:cs="宋体"/>
                <w:b/>
                <w:sz w:val="24"/>
                <w:szCs w:val="24"/>
              </w:rPr>
            </w:pPr>
            <w:r>
              <w:rPr>
                <w:rFonts w:hint="eastAsia" w:ascii="楷体" w:hAnsi="楷体" w:eastAsia="楷体" w:cs="宋体"/>
                <w:b/>
                <w:sz w:val="24"/>
                <w:szCs w:val="24"/>
              </w:rPr>
              <w:t>数量（台）</w:t>
            </w:r>
          </w:p>
        </w:tc>
        <w:tc>
          <w:tcPr>
            <w:tcW w:w="1817" w:type="dxa"/>
            <w:tcBorders>
              <w:top w:val="single" w:color="auto" w:sz="4" w:space="0"/>
              <w:left w:val="nil"/>
              <w:bottom w:val="single" w:color="auto" w:sz="4" w:space="0"/>
              <w:right w:val="single" w:color="auto" w:sz="4" w:space="0"/>
            </w:tcBorders>
            <w:shd w:val="clear" w:color="auto" w:fill="auto"/>
            <w:vAlign w:val="center"/>
          </w:tcPr>
          <w:p w14:paraId="563467B8">
            <w:pPr>
              <w:ind w:firstLine="241" w:firstLineChars="100"/>
              <w:rPr>
                <w:rFonts w:ascii="楷体" w:hAnsi="楷体" w:eastAsia="楷体" w:cs="宋体"/>
                <w:b/>
                <w:sz w:val="24"/>
                <w:szCs w:val="24"/>
              </w:rPr>
            </w:pPr>
            <w:r>
              <w:rPr>
                <w:rFonts w:hint="eastAsia" w:ascii="楷体" w:hAnsi="楷体" w:eastAsia="楷体" w:cs="宋体"/>
                <w:b/>
                <w:sz w:val="24"/>
                <w:szCs w:val="24"/>
              </w:rPr>
              <w:t>主要用途</w:t>
            </w:r>
          </w:p>
        </w:tc>
        <w:tc>
          <w:tcPr>
            <w:tcW w:w="1868" w:type="dxa"/>
            <w:tcBorders>
              <w:top w:val="single" w:color="auto" w:sz="4" w:space="0"/>
              <w:left w:val="nil"/>
              <w:bottom w:val="single" w:color="auto" w:sz="4" w:space="0"/>
              <w:right w:val="single" w:color="auto" w:sz="4" w:space="0"/>
            </w:tcBorders>
            <w:shd w:val="clear" w:color="auto" w:fill="auto"/>
            <w:vAlign w:val="center"/>
          </w:tcPr>
          <w:p w14:paraId="05298CC4">
            <w:pPr>
              <w:rPr>
                <w:rFonts w:hint="eastAsia" w:ascii="楷体" w:hAnsi="楷体" w:eastAsia="楷体" w:cs="宋体"/>
                <w:b/>
                <w:sz w:val="24"/>
                <w:szCs w:val="24"/>
                <w:lang w:eastAsia="zh-CN"/>
              </w:rPr>
            </w:pPr>
            <w:r>
              <w:rPr>
                <w:rFonts w:hint="eastAsia" w:ascii="楷体" w:hAnsi="楷体" w:eastAsia="楷体" w:cs="宋体"/>
                <w:b/>
                <w:sz w:val="24"/>
                <w:szCs w:val="24"/>
                <w:lang w:eastAsia="zh-CN"/>
              </w:rPr>
              <w:t>维保价，不含税（元</w:t>
            </w:r>
            <w:r>
              <w:rPr>
                <w:rFonts w:hint="eastAsia" w:ascii="楷体" w:hAnsi="楷体" w:eastAsia="楷体" w:cs="宋体"/>
                <w:b/>
                <w:sz w:val="24"/>
                <w:szCs w:val="24"/>
                <w:lang w:val="en-US" w:eastAsia="zh-CN"/>
              </w:rPr>
              <w:t>/年</w:t>
            </w:r>
            <w:r>
              <w:rPr>
                <w:rFonts w:hint="eastAsia" w:ascii="楷体" w:hAnsi="楷体" w:eastAsia="楷体" w:cs="宋体"/>
                <w:b/>
                <w:sz w:val="24"/>
                <w:szCs w:val="24"/>
                <w:lang w:eastAsia="zh-CN"/>
              </w:rPr>
              <w:t>）</w:t>
            </w:r>
          </w:p>
        </w:tc>
        <w:tc>
          <w:tcPr>
            <w:tcW w:w="1133" w:type="dxa"/>
            <w:tcBorders>
              <w:top w:val="single" w:color="auto" w:sz="4" w:space="0"/>
              <w:left w:val="nil"/>
              <w:bottom w:val="single" w:color="auto" w:sz="4" w:space="0"/>
              <w:right w:val="single" w:color="auto" w:sz="4" w:space="0"/>
            </w:tcBorders>
            <w:shd w:val="clear" w:color="auto" w:fill="auto"/>
            <w:vAlign w:val="center"/>
          </w:tcPr>
          <w:p w14:paraId="4251C8A7">
            <w:pPr>
              <w:ind w:firstLine="241" w:firstLineChars="100"/>
              <w:rPr>
                <w:rFonts w:ascii="楷体" w:hAnsi="楷体" w:eastAsia="楷体" w:cs="宋体"/>
                <w:b/>
                <w:sz w:val="24"/>
                <w:szCs w:val="24"/>
              </w:rPr>
            </w:pPr>
            <w:r>
              <w:rPr>
                <w:rFonts w:hint="eastAsia" w:ascii="楷体" w:hAnsi="楷体" w:eastAsia="楷体" w:cs="宋体"/>
                <w:b/>
                <w:sz w:val="24"/>
                <w:szCs w:val="24"/>
              </w:rPr>
              <w:t>备注</w:t>
            </w:r>
          </w:p>
        </w:tc>
      </w:tr>
      <w:tr w14:paraId="469AA98D">
        <w:tblPrEx>
          <w:tblCellMar>
            <w:top w:w="0" w:type="dxa"/>
            <w:left w:w="108" w:type="dxa"/>
            <w:bottom w:w="0" w:type="dxa"/>
            <w:right w:w="108" w:type="dxa"/>
          </w:tblCellMar>
        </w:tblPrEx>
        <w:trPr>
          <w:trHeight w:val="261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65E346B2">
            <w:pPr>
              <w:rPr>
                <w:rFonts w:ascii="楷体" w:hAnsi="楷体" w:eastAsia="楷体" w:cs="宋体"/>
                <w:sz w:val="24"/>
                <w:szCs w:val="24"/>
              </w:rPr>
            </w:pPr>
            <w:r>
              <w:rPr>
                <w:rFonts w:hint="eastAsia" w:ascii="楷体" w:hAnsi="楷体" w:eastAsia="楷体" w:cs="宋体"/>
                <w:sz w:val="24"/>
                <w:szCs w:val="24"/>
              </w:rPr>
              <w:t>1</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5EB40B3">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日照</w:t>
            </w:r>
            <w:r>
              <w:rPr>
                <w:rFonts w:hint="eastAsia" w:ascii="楷体" w:hAnsi="楷体" w:eastAsia="楷体" w:cs="宋体"/>
                <w:sz w:val="24"/>
                <w:szCs w:val="24"/>
              </w:rPr>
              <w:t>泰东</w:t>
            </w:r>
            <w:r>
              <w:rPr>
                <w:rFonts w:hint="eastAsia" w:ascii="楷体" w:hAnsi="楷体" w:eastAsia="楷体" w:cs="宋体"/>
                <w:sz w:val="24"/>
                <w:szCs w:val="24"/>
                <w:lang w:eastAsia="zh-CN"/>
              </w:rPr>
              <w:t>环保</w:t>
            </w:r>
            <w:r>
              <w:rPr>
                <w:rFonts w:hint="eastAsia" w:ascii="楷体" w:hAnsi="楷体" w:eastAsia="楷体" w:cs="宋体"/>
                <w:sz w:val="24"/>
                <w:szCs w:val="24"/>
              </w:rPr>
              <w:t>公司</w:t>
            </w:r>
            <w:r>
              <w:rPr>
                <w:rFonts w:hint="eastAsia" w:ascii="楷体" w:hAnsi="楷体" w:eastAsia="楷体" w:cs="宋体"/>
                <w:sz w:val="24"/>
                <w:szCs w:val="24"/>
                <w:lang w:val="en-US" w:eastAsia="zh-CN"/>
              </w:rPr>
              <w:t>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24311DDC">
            <w:pPr>
              <w:rPr>
                <w:rFonts w:ascii="楷体" w:hAnsi="楷体" w:eastAsia="楷体" w:cs="宋体"/>
                <w:sz w:val="24"/>
                <w:szCs w:val="24"/>
              </w:rPr>
            </w:pPr>
            <w:r>
              <w:rPr>
                <w:rFonts w:hint="eastAsia" w:ascii="楷体" w:hAnsi="楷体" w:eastAsia="楷体" w:cs="宋体"/>
                <w:sz w:val="24"/>
                <w:szCs w:val="24"/>
              </w:rPr>
              <w:t>双梁起重机</w:t>
            </w:r>
          </w:p>
          <w:p w14:paraId="4D97A2EB">
            <w:pPr>
              <w:rPr>
                <w:rFonts w:hint="eastAsia" w:ascii="楷体" w:hAnsi="楷体" w:eastAsia="楷体" w:cs="宋体"/>
                <w:sz w:val="24"/>
                <w:szCs w:val="24"/>
              </w:rPr>
            </w:pPr>
            <w:r>
              <w:rPr>
                <w:rFonts w:hint="eastAsia" w:ascii="楷体" w:hAnsi="楷体" w:eastAsia="楷体" w:cs="宋体"/>
                <w:sz w:val="24"/>
                <w:szCs w:val="24"/>
              </w:rPr>
              <w:t xml:space="preserve">QD120T </w:t>
            </w:r>
            <w:r>
              <w:rPr>
                <w:rFonts w:hint="eastAsia" w:ascii="楷体" w:hAnsi="楷体" w:eastAsia="楷体" w:cs="宋体"/>
                <w:sz w:val="24"/>
                <w:szCs w:val="24"/>
                <w:lang w:val="en-US" w:eastAsia="zh-CN"/>
              </w:rPr>
              <w:t>YZ</w:t>
            </w:r>
            <w:r>
              <w:rPr>
                <w:rFonts w:hint="eastAsia" w:ascii="楷体" w:hAnsi="楷体" w:eastAsia="楷体" w:cs="宋体"/>
                <w:sz w:val="24"/>
                <w:szCs w:val="24"/>
              </w:rPr>
              <w:t>100T</w:t>
            </w:r>
          </w:p>
          <w:p w14:paraId="1ECF3FF9">
            <w:pPr>
              <w:rPr>
                <w:rFonts w:hint="eastAsia" w:ascii="楷体" w:hAnsi="楷体" w:eastAsia="楷体" w:cs="宋体"/>
                <w:sz w:val="24"/>
                <w:szCs w:val="24"/>
              </w:rPr>
            </w:pPr>
            <w:r>
              <w:rPr>
                <w:rFonts w:hint="eastAsia" w:ascii="楷体" w:hAnsi="楷体" w:eastAsia="楷体" w:cs="宋体"/>
                <w:sz w:val="24"/>
                <w:szCs w:val="24"/>
              </w:rPr>
              <w:t>QD12</w:t>
            </w:r>
            <w:r>
              <w:rPr>
                <w:rFonts w:hint="eastAsia" w:ascii="楷体" w:hAnsi="楷体" w:eastAsia="楷体" w:cs="宋体"/>
                <w:sz w:val="24"/>
                <w:szCs w:val="24"/>
                <w:lang w:val="en-US" w:eastAsia="zh-CN"/>
              </w:rPr>
              <w:t>5</w:t>
            </w:r>
            <w:r>
              <w:rPr>
                <w:rFonts w:hint="eastAsia" w:ascii="楷体" w:hAnsi="楷体" w:eastAsia="楷体" w:cs="宋体"/>
                <w:sz w:val="24"/>
                <w:szCs w:val="24"/>
              </w:rPr>
              <w:t xml:space="preserve">T </w:t>
            </w:r>
            <w:r>
              <w:rPr>
                <w:rFonts w:hint="eastAsia" w:ascii="楷体" w:hAnsi="楷体" w:eastAsia="楷体" w:cs="宋体"/>
                <w:sz w:val="24"/>
                <w:szCs w:val="24"/>
                <w:lang w:val="en-US" w:eastAsia="zh-CN"/>
              </w:rPr>
              <w:t>YZ</w:t>
            </w:r>
            <w:r>
              <w:rPr>
                <w:rFonts w:hint="eastAsia" w:ascii="楷体" w:hAnsi="楷体" w:eastAsia="楷体" w:cs="宋体"/>
                <w:sz w:val="24"/>
                <w:szCs w:val="24"/>
              </w:rPr>
              <w:t>1</w:t>
            </w:r>
            <w:r>
              <w:rPr>
                <w:rFonts w:hint="eastAsia" w:ascii="楷体" w:hAnsi="楷体" w:eastAsia="楷体" w:cs="宋体"/>
                <w:sz w:val="24"/>
                <w:szCs w:val="24"/>
                <w:lang w:val="en-US" w:eastAsia="zh-CN"/>
              </w:rPr>
              <w:t>25</w:t>
            </w:r>
            <w:r>
              <w:rPr>
                <w:rFonts w:hint="eastAsia" w:ascii="楷体" w:hAnsi="楷体" w:eastAsia="楷体" w:cs="宋体"/>
                <w:sz w:val="24"/>
                <w:szCs w:val="24"/>
              </w:rPr>
              <w:t xml:space="preserve">T LX2T QD20T QZ5T QZ16T QZ5T </w:t>
            </w:r>
          </w:p>
          <w:p w14:paraId="5685E600">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QZ5T  QD80T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8B32D25">
            <w:pPr>
              <w:rPr>
                <w:rFonts w:hint="default" w:ascii="楷体" w:hAnsi="楷体" w:eastAsia="楷体" w:cs="宋体"/>
                <w:sz w:val="24"/>
                <w:szCs w:val="24"/>
                <w:lang w:val="en-US" w:eastAsia="zh-CN"/>
              </w:rPr>
            </w:pPr>
            <w:r>
              <w:rPr>
                <w:rFonts w:hint="eastAsia" w:ascii="楷体" w:hAnsi="楷体" w:eastAsia="楷体" w:cs="宋体"/>
                <w:sz w:val="24"/>
                <w:szCs w:val="24"/>
              </w:rPr>
              <w:t>A</w:t>
            </w:r>
            <w:r>
              <w:rPr>
                <w:rFonts w:hint="eastAsia" w:ascii="楷体" w:hAnsi="楷体" w:eastAsia="楷体" w:cs="宋体"/>
                <w:sz w:val="24"/>
                <w:szCs w:val="24"/>
                <w:lang w:val="en-US" w:eastAsia="zh-CN"/>
              </w:rPr>
              <w:t>3. A5、A7</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AF6E0D7">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17</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276C1EB">
            <w:pPr>
              <w:rPr>
                <w:rFonts w:ascii="楷体" w:hAnsi="楷体" w:eastAsia="楷体" w:cs="宋体"/>
                <w:sz w:val="24"/>
                <w:szCs w:val="24"/>
              </w:rPr>
            </w:pPr>
            <w:r>
              <w:rPr>
                <w:rFonts w:hint="eastAsia" w:ascii="楷体" w:hAnsi="楷体" w:eastAsia="楷体" w:cs="宋体"/>
                <w:sz w:val="24"/>
                <w:szCs w:val="24"/>
              </w:rPr>
              <w:t>生产用起重机，主要吊运渣罐、中间罐</w:t>
            </w:r>
          </w:p>
          <w:p w14:paraId="1ED56661">
            <w:pPr>
              <w:rPr>
                <w:rFonts w:ascii="楷体" w:hAnsi="楷体" w:eastAsia="楷体" w:cs="宋体"/>
                <w:sz w:val="24"/>
                <w:szCs w:val="24"/>
              </w:rPr>
            </w:pPr>
            <w:r>
              <w:rPr>
                <w:rFonts w:hint="eastAsia" w:ascii="楷体" w:hAnsi="楷体" w:eastAsia="楷体" w:cs="宋体"/>
                <w:sz w:val="24"/>
                <w:szCs w:val="24"/>
              </w:rPr>
              <w:t>尾渣等（24小时工作制）</w:t>
            </w:r>
          </w:p>
          <w:p w14:paraId="1C1C6C5B">
            <w:pPr>
              <w:rPr>
                <w:rFonts w:ascii="楷体" w:hAnsi="楷体" w:eastAsia="楷体" w:cs="宋体"/>
                <w:sz w:val="24"/>
                <w:szCs w:val="24"/>
              </w:rPr>
            </w:pP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F981478">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 xml:space="preserve">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3B57D15">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4人，常驻</w:t>
            </w:r>
          </w:p>
        </w:tc>
      </w:tr>
      <w:tr w14:paraId="060E46ED">
        <w:tblPrEx>
          <w:tblCellMar>
            <w:top w:w="0" w:type="dxa"/>
            <w:left w:w="108" w:type="dxa"/>
            <w:bottom w:w="0" w:type="dxa"/>
            <w:right w:w="108" w:type="dxa"/>
          </w:tblCellMar>
        </w:tblPrEx>
        <w:trPr>
          <w:trHeight w:val="3274"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0079B945">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2</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85B5D0">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资源公司院内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6E09A569">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双梁起重机</w:t>
            </w:r>
          </w:p>
          <w:p w14:paraId="3998A30C">
            <w:pPr>
              <w:rPr>
                <w:rFonts w:hint="default" w:ascii="楷体" w:hAnsi="楷体" w:eastAsia="楷体" w:cs="宋体"/>
                <w:sz w:val="24"/>
                <w:szCs w:val="24"/>
                <w:lang w:val="en-US" w:eastAsia="zh-CN"/>
              </w:rPr>
            </w:pPr>
            <w:r>
              <w:rPr>
                <w:rFonts w:hint="eastAsia" w:ascii="楷体" w:hAnsi="楷体" w:eastAsia="楷体" w:cs="宋体"/>
                <w:sz w:val="24"/>
                <w:szCs w:val="24"/>
              </w:rPr>
              <w:t>QD</w:t>
            </w:r>
            <w:r>
              <w:rPr>
                <w:rFonts w:hint="eastAsia" w:ascii="楷体" w:hAnsi="楷体" w:eastAsia="楷体" w:cs="宋体"/>
                <w:sz w:val="24"/>
                <w:szCs w:val="24"/>
                <w:lang w:val="en-US" w:eastAsia="zh-CN"/>
              </w:rPr>
              <w:t>80/30、</w:t>
            </w:r>
            <w:r>
              <w:rPr>
                <w:rFonts w:hint="eastAsia" w:ascii="楷体" w:hAnsi="楷体" w:eastAsia="楷体" w:cs="宋体"/>
                <w:sz w:val="24"/>
                <w:szCs w:val="24"/>
              </w:rPr>
              <w:t>QD</w:t>
            </w:r>
            <w:r>
              <w:rPr>
                <w:rFonts w:hint="eastAsia" w:ascii="楷体" w:hAnsi="楷体" w:eastAsia="楷体" w:cs="宋体"/>
                <w:sz w:val="24"/>
                <w:szCs w:val="24"/>
                <w:lang w:val="en-US" w:eastAsia="zh-CN"/>
              </w:rPr>
              <w:t>100/40、YZ80/40、QD60/30、QD80/40、QZ25T（带抓斗）、单梁吊葫芦16T、10T、5T、2T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7F386DD">
            <w:pPr>
              <w:rPr>
                <w:rFonts w:hint="eastAsia" w:ascii="楷体" w:hAnsi="楷体" w:eastAsia="楷体" w:cs="宋体"/>
                <w:sz w:val="24"/>
                <w:szCs w:val="24"/>
              </w:rPr>
            </w:pPr>
            <w:r>
              <w:rPr>
                <w:rFonts w:hint="eastAsia" w:ascii="楷体" w:hAnsi="楷体" w:eastAsia="楷体" w:cs="宋体"/>
                <w:sz w:val="24"/>
                <w:szCs w:val="24"/>
              </w:rPr>
              <w:t>A</w:t>
            </w:r>
            <w:r>
              <w:rPr>
                <w:rFonts w:hint="eastAsia" w:ascii="楷体" w:hAnsi="楷体" w:eastAsia="楷体" w:cs="宋体"/>
                <w:sz w:val="24"/>
                <w:szCs w:val="24"/>
                <w:lang w:val="en-US" w:eastAsia="zh-CN"/>
              </w:rPr>
              <w:t>3. A5、A7</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2FD3924">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23</w:t>
            </w:r>
            <w:bookmarkStart w:id="11" w:name="_GoBack"/>
            <w:bookmarkEnd w:id="11"/>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2F6D24D2">
            <w:pPr>
              <w:rPr>
                <w:rFonts w:ascii="楷体" w:hAnsi="楷体" w:eastAsia="楷体" w:cs="宋体"/>
                <w:sz w:val="24"/>
                <w:szCs w:val="24"/>
              </w:rPr>
            </w:pPr>
            <w:r>
              <w:rPr>
                <w:rFonts w:hint="eastAsia" w:ascii="楷体" w:hAnsi="楷体" w:eastAsia="楷体" w:cs="宋体"/>
                <w:sz w:val="24"/>
                <w:szCs w:val="24"/>
              </w:rPr>
              <w:t>生产用起重机，主要吊运渣罐、中间罐</w:t>
            </w:r>
          </w:p>
          <w:p w14:paraId="475A4952">
            <w:pPr>
              <w:rPr>
                <w:rFonts w:ascii="楷体" w:hAnsi="楷体" w:eastAsia="楷体" w:cs="宋体"/>
                <w:sz w:val="24"/>
                <w:szCs w:val="24"/>
              </w:rPr>
            </w:pPr>
            <w:r>
              <w:rPr>
                <w:rFonts w:hint="eastAsia" w:ascii="楷体" w:hAnsi="楷体" w:eastAsia="楷体" w:cs="宋体"/>
                <w:sz w:val="24"/>
                <w:szCs w:val="24"/>
              </w:rPr>
              <w:t>尾渣等（24小时工作制）</w:t>
            </w:r>
          </w:p>
          <w:p w14:paraId="4B5306D3">
            <w:pPr>
              <w:rPr>
                <w:rFonts w:ascii="楷体" w:hAnsi="楷体" w:eastAsia="楷体" w:cs="宋体"/>
                <w:sz w:val="24"/>
                <w:szCs w:val="24"/>
              </w:rPr>
            </w:pP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13996C0">
            <w:pPr>
              <w:rPr>
                <w:rFonts w:hint="eastAsia" w:ascii="楷体" w:hAnsi="楷体" w:eastAsia="楷体" w:cs="宋体"/>
                <w:sz w:val="24"/>
                <w:szCs w:val="24"/>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04E4607">
            <w:pPr>
              <w:jc w:val="center"/>
              <w:rPr>
                <w:rFonts w:hint="eastAsia" w:ascii="楷体" w:hAnsi="楷体" w:eastAsia="楷体" w:cs="宋体"/>
                <w:sz w:val="24"/>
                <w:szCs w:val="24"/>
                <w:lang w:eastAsia="zh-CN"/>
              </w:rPr>
            </w:pPr>
            <w:r>
              <w:rPr>
                <w:rFonts w:hint="eastAsia" w:ascii="楷体" w:hAnsi="楷体" w:eastAsia="楷体" w:cs="宋体"/>
                <w:sz w:val="24"/>
                <w:szCs w:val="24"/>
                <w:lang w:val="en-US" w:eastAsia="zh-CN"/>
              </w:rPr>
              <w:t>4人，常驻</w:t>
            </w:r>
          </w:p>
        </w:tc>
      </w:tr>
      <w:tr w14:paraId="434C6787">
        <w:tblPrEx>
          <w:tblCellMar>
            <w:top w:w="0" w:type="dxa"/>
            <w:left w:w="108" w:type="dxa"/>
            <w:bottom w:w="0" w:type="dxa"/>
            <w:right w:w="108" w:type="dxa"/>
          </w:tblCellMar>
        </w:tblPrEx>
        <w:trPr>
          <w:trHeight w:val="2359"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14:paraId="10DC3099">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3</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0C80C5">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双山公司院内</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14:paraId="64686D4A">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双梁起重机YZ80/40、QD16/3.2、单梁吊葫芦32T、10T、5T</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26D623D0">
            <w:pPr>
              <w:rPr>
                <w:rFonts w:hint="eastAsia" w:ascii="楷体" w:hAnsi="楷体" w:eastAsia="楷体" w:cs="宋体"/>
                <w:sz w:val="24"/>
                <w:szCs w:val="24"/>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684A816A">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16</w:t>
            </w: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73B57A3D">
            <w:pP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YZ80/40冶金吊用于翻盆作业，其他吊葫芦用于日常生产</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17DD252B">
            <w:pPr>
              <w:rPr>
                <w:rFonts w:hint="eastAsia" w:ascii="楷体" w:hAnsi="楷体" w:eastAsia="楷体" w:cs="宋体"/>
                <w:sz w:val="24"/>
                <w:szCs w:val="24"/>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2C20741">
            <w:pPr>
              <w:jc w:val="center"/>
              <w:rPr>
                <w:rFonts w:hint="eastAsia" w:ascii="楷体" w:hAnsi="楷体" w:eastAsia="楷体" w:cs="宋体"/>
                <w:sz w:val="24"/>
                <w:szCs w:val="24"/>
                <w:lang w:eastAsia="zh-CN"/>
              </w:rPr>
            </w:pPr>
            <w:r>
              <w:rPr>
                <w:rFonts w:hint="eastAsia" w:ascii="楷体" w:hAnsi="楷体" w:eastAsia="楷体" w:cs="宋体"/>
                <w:sz w:val="24"/>
                <w:szCs w:val="24"/>
                <w:lang w:eastAsia="zh-CN"/>
              </w:rPr>
              <w:t>无需常驻，有故障随叫随到</w:t>
            </w:r>
          </w:p>
        </w:tc>
      </w:tr>
      <w:tr w14:paraId="006EB121">
        <w:tblPrEx>
          <w:tblCellMar>
            <w:top w:w="0" w:type="dxa"/>
            <w:left w:w="108" w:type="dxa"/>
            <w:bottom w:w="0" w:type="dxa"/>
            <w:right w:w="108" w:type="dxa"/>
          </w:tblCellMar>
        </w:tblPrEx>
        <w:trPr>
          <w:trHeight w:val="681" w:hRule="atLeast"/>
          <w:jc w:val="center"/>
        </w:trPr>
        <w:tc>
          <w:tcPr>
            <w:tcW w:w="30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0CF855">
            <w:pPr>
              <w:jc w:val="center"/>
              <w:rPr>
                <w:rFonts w:hint="default" w:ascii="楷体" w:hAnsi="楷体" w:eastAsia="楷体" w:cs="宋体"/>
                <w:sz w:val="24"/>
                <w:szCs w:val="24"/>
                <w:lang w:val="en-US" w:eastAsia="zh-CN"/>
              </w:rPr>
            </w:pPr>
            <w:r>
              <w:rPr>
                <w:rFonts w:hint="eastAsia" w:ascii="楷体" w:hAnsi="楷体" w:eastAsia="楷体" w:cs="宋体"/>
                <w:sz w:val="24"/>
                <w:szCs w:val="24"/>
                <w:lang w:val="en-US" w:eastAsia="zh-CN"/>
              </w:rPr>
              <w:t>合计</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14:paraId="419D7868">
            <w:pPr>
              <w:rPr>
                <w:rFonts w:hint="eastAsia" w:ascii="楷体" w:hAnsi="楷体" w:eastAsia="楷体" w:cs="宋体"/>
                <w:sz w:val="24"/>
                <w:szCs w:val="24"/>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6248DBF6">
            <w:pPr>
              <w:jc w:val="center"/>
              <w:rPr>
                <w:rFonts w:hint="default" w:ascii="楷体" w:hAnsi="楷体" w:eastAsia="楷体" w:cs="宋体"/>
                <w:sz w:val="24"/>
                <w:szCs w:val="24"/>
                <w:lang w:val="en-US" w:eastAsia="zh-CN"/>
              </w:rPr>
            </w:pPr>
          </w:p>
        </w:tc>
        <w:tc>
          <w:tcPr>
            <w:tcW w:w="1817" w:type="dxa"/>
            <w:tcBorders>
              <w:top w:val="single" w:color="auto" w:sz="4" w:space="0"/>
              <w:left w:val="single" w:color="auto" w:sz="4" w:space="0"/>
              <w:bottom w:val="single" w:color="auto" w:sz="4" w:space="0"/>
              <w:right w:val="single" w:color="auto" w:sz="4" w:space="0"/>
            </w:tcBorders>
            <w:shd w:val="clear" w:color="auto" w:fill="auto"/>
            <w:vAlign w:val="center"/>
          </w:tcPr>
          <w:p w14:paraId="5D777951">
            <w:pPr>
              <w:rPr>
                <w:rFonts w:hint="default" w:ascii="楷体" w:hAnsi="楷体" w:eastAsia="楷体" w:cs="宋体"/>
                <w:sz w:val="24"/>
                <w:szCs w:val="24"/>
                <w:lang w:val="en-US" w:eastAsia="zh-CN"/>
              </w:rPr>
            </w:pP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14:paraId="47FA6CE3">
            <w:pPr>
              <w:rPr>
                <w:rFonts w:hint="eastAsia" w:ascii="楷体" w:hAnsi="楷体" w:eastAsia="楷体" w:cs="宋体"/>
                <w:sz w:val="24"/>
                <w:szCs w:val="24"/>
                <w:lang w:val="en-US" w:eastAsia="zh-CN"/>
              </w:rPr>
            </w:pPr>
            <w:r>
              <w:rPr>
                <w:rFonts w:hint="eastAsia" w:ascii="楷体" w:hAnsi="楷体" w:eastAsia="楷体" w:cs="宋体"/>
                <w:sz w:val="24"/>
                <w:szCs w:val="24"/>
                <w:lang w:val="en-US" w:eastAsia="zh-CN"/>
              </w:rPr>
              <w:t xml:space="preserve">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3619431">
            <w:pPr>
              <w:jc w:val="center"/>
              <w:rPr>
                <w:rFonts w:hint="eastAsia" w:ascii="楷体" w:hAnsi="楷体" w:eastAsia="楷体" w:cs="宋体"/>
                <w:sz w:val="24"/>
                <w:szCs w:val="24"/>
                <w:lang w:eastAsia="zh-CN"/>
              </w:rPr>
            </w:pPr>
          </w:p>
        </w:tc>
      </w:tr>
    </w:tbl>
    <w:p w14:paraId="32FD0F0A">
      <w:pPr>
        <w:pStyle w:val="10"/>
        <w:numPr>
          <w:ilvl w:val="0"/>
          <w:numId w:val="0"/>
        </w:numPr>
        <w:rPr>
          <w:rFonts w:hint="eastAsia" w:ascii="楷体" w:hAnsi="楷体" w:eastAsia="楷体"/>
          <w:b/>
          <w:sz w:val="36"/>
          <w:szCs w:val="36"/>
          <w:lang w:eastAsia="zh-CN"/>
        </w:rPr>
      </w:pPr>
    </w:p>
    <w:p w14:paraId="361447AF">
      <w:pPr>
        <w:pStyle w:val="10"/>
        <w:numPr>
          <w:ilvl w:val="0"/>
          <w:numId w:val="0"/>
        </w:numPr>
        <w:rPr>
          <w:rFonts w:hint="eastAsia" w:ascii="楷体" w:hAnsi="楷体" w:eastAsia="楷体"/>
          <w:b/>
          <w:sz w:val="36"/>
          <w:szCs w:val="36"/>
          <w:lang w:eastAsia="zh-CN"/>
        </w:rPr>
      </w:pPr>
      <w:r>
        <w:rPr>
          <w:rFonts w:hint="eastAsia" w:ascii="楷体" w:hAnsi="楷体" w:eastAsia="楷体"/>
          <w:b/>
          <w:sz w:val="36"/>
          <w:szCs w:val="36"/>
          <w:lang w:val="en-US" w:eastAsia="zh-CN"/>
        </w:rPr>
        <w:t xml:space="preserve">  </w:t>
      </w:r>
    </w:p>
    <w:p w14:paraId="2C6BF7C9">
      <w:pPr>
        <w:ind w:firstLine="361" w:firstLineChars="100"/>
        <w:jc w:val="both"/>
        <w:rPr>
          <w:rFonts w:hint="eastAsia" w:ascii="楷体" w:hAnsi="楷体" w:eastAsia="楷体"/>
          <w:b/>
          <w:bCs/>
          <w:sz w:val="36"/>
          <w:szCs w:val="36"/>
          <w:u w:val="single"/>
          <w:lang w:val="en-US" w:eastAsia="zh-CN"/>
        </w:rPr>
      </w:pPr>
      <w:r>
        <w:rPr>
          <w:rFonts w:hint="eastAsia" w:ascii="楷体" w:hAnsi="楷体" w:eastAsia="楷体"/>
          <w:b/>
          <w:bCs/>
          <w:sz w:val="36"/>
          <w:szCs w:val="36"/>
          <w:lang w:eastAsia="zh-CN"/>
        </w:rPr>
        <w:t>投标单位（章）：</w:t>
      </w:r>
      <w:r>
        <w:rPr>
          <w:rFonts w:hint="eastAsia" w:ascii="楷体" w:hAnsi="楷体" w:eastAsia="楷体"/>
          <w:b/>
          <w:bCs/>
          <w:sz w:val="36"/>
          <w:szCs w:val="36"/>
          <w:u w:val="single"/>
          <w:lang w:val="en-US" w:eastAsia="zh-CN"/>
        </w:rPr>
        <w:t xml:space="preserve">                 </w:t>
      </w:r>
    </w:p>
    <w:p w14:paraId="79B45842">
      <w:pPr>
        <w:ind w:firstLine="361" w:firstLineChars="100"/>
        <w:jc w:val="both"/>
        <w:rPr>
          <w:rFonts w:hint="default" w:ascii="楷体" w:hAnsi="楷体" w:eastAsia="楷体"/>
          <w:b/>
          <w:bCs/>
          <w:sz w:val="36"/>
          <w:szCs w:val="36"/>
          <w:u w:val="single"/>
          <w:lang w:val="en-US" w:eastAsia="zh-CN"/>
        </w:rPr>
      </w:pPr>
      <w:r>
        <w:rPr>
          <w:rFonts w:hint="eastAsia" w:ascii="楷体" w:hAnsi="楷体" w:eastAsia="楷体"/>
          <w:b/>
          <w:bCs/>
          <w:sz w:val="36"/>
          <w:szCs w:val="36"/>
          <w:u w:val="none"/>
          <w:lang w:val="en-US" w:eastAsia="zh-CN"/>
        </w:rPr>
        <w:t>联 系 人：</w:t>
      </w:r>
      <w:r>
        <w:rPr>
          <w:rFonts w:hint="eastAsia" w:ascii="楷体" w:hAnsi="楷体" w:eastAsia="楷体"/>
          <w:b/>
          <w:bCs/>
          <w:sz w:val="36"/>
          <w:szCs w:val="36"/>
          <w:u w:val="single"/>
          <w:lang w:val="en-US" w:eastAsia="zh-CN"/>
        </w:rPr>
        <w:t xml:space="preserve">                      </w:t>
      </w:r>
    </w:p>
    <w:p w14:paraId="0CE7B1E6">
      <w:pPr>
        <w:ind w:firstLine="361" w:firstLineChars="100"/>
        <w:jc w:val="both"/>
        <w:rPr>
          <w:rFonts w:hint="eastAsia" w:ascii="楷体" w:hAnsi="楷体" w:eastAsia="楷体"/>
          <w:lang w:val="en-US" w:eastAsia="zh-CN"/>
        </w:rPr>
      </w:pPr>
      <w:r>
        <w:rPr>
          <w:rFonts w:hint="eastAsia" w:ascii="楷体" w:hAnsi="楷体" w:eastAsia="楷体"/>
          <w:b/>
          <w:bCs/>
          <w:sz w:val="36"/>
          <w:szCs w:val="36"/>
          <w:u w:val="none"/>
          <w:lang w:val="en-US" w:eastAsia="zh-CN"/>
        </w:rPr>
        <w:t>联系电话：</w:t>
      </w:r>
      <w:r>
        <w:rPr>
          <w:rFonts w:hint="eastAsia" w:ascii="楷体" w:hAnsi="楷体" w:eastAsia="楷体"/>
          <w:b/>
          <w:bCs/>
          <w:sz w:val="36"/>
          <w:szCs w:val="36"/>
          <w:u w:val="single"/>
          <w:lang w:val="en-US" w:eastAsia="zh-CN"/>
        </w:rPr>
        <w:t xml:space="preserve">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0929"/>
      <w:docPartObj>
        <w:docPartGallery w:val="autotext"/>
      </w:docPartObj>
    </w:sdtPr>
    <w:sdtContent>
      <w:p w14:paraId="199E5702">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70B265E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187DF"/>
    <w:multiLevelType w:val="singleLevel"/>
    <w:tmpl w:val="EB1187DF"/>
    <w:lvl w:ilvl="0" w:tentative="0">
      <w:start w:val="2"/>
      <w:numFmt w:val="chineseCounting"/>
      <w:suff w:val="space"/>
      <w:lvlText w:val="第%1部分"/>
      <w:lvlJc w:val="left"/>
      <w:rPr>
        <w:rFonts w:hint="eastAsia"/>
      </w:rPr>
    </w:lvl>
  </w:abstractNum>
  <w:abstractNum w:abstractNumId="1">
    <w:nsid w:val="619A0A78"/>
    <w:multiLevelType w:val="multilevel"/>
    <w:tmpl w:val="619A0A78"/>
    <w:lvl w:ilvl="0" w:tentative="0">
      <w:start w:val="1"/>
      <w:numFmt w:val="decimal"/>
      <w:pStyle w:val="3"/>
      <w:suff w:val="space"/>
      <w:lvlText w:val="%1"/>
      <w:lvlJc w:val="left"/>
      <w:pPr>
        <w:ind w:left="397" w:hanging="397"/>
      </w:pPr>
      <w:rPr>
        <w:rFonts w:hint="default" w:ascii="Times New Roman" w:hAnsi="Times New Roman" w:eastAsia="宋体"/>
        <w:b/>
        <w:i w:val="0"/>
        <w:caps w:val="0"/>
        <w:strike w:val="0"/>
        <w:dstrike w:val="0"/>
        <w:outline w:val="0"/>
        <w:shadow w:val="0"/>
        <w:emboss w:val="0"/>
        <w:imprint w:val="0"/>
        <w:vanish w:val="0"/>
        <w:color w:val="auto"/>
        <w:kern w:val="28"/>
        <w:sz w:val="28"/>
        <w:szCs w:val="28"/>
        <w:vertAlign w:val="baseline"/>
      </w:rPr>
    </w:lvl>
    <w:lvl w:ilvl="1" w:tentative="0">
      <w:start w:val="1"/>
      <w:numFmt w:val="decimal"/>
      <w:suff w:val="space"/>
      <w:lvlText w:val="%1.%2"/>
      <w:lvlJc w:val="left"/>
      <w:pPr>
        <w:ind w:left="142" w:firstLine="0"/>
      </w:pPr>
      <w:rPr>
        <w:rFonts w:hint="default" w:ascii="Times New Roman" w:hAnsi="Times New Roman" w:eastAsia="宋体"/>
        <w:b w:val="0"/>
        <w:i w:val="0"/>
        <w:sz w:val="28"/>
        <w:szCs w:val="28"/>
      </w:rPr>
    </w:lvl>
    <w:lvl w:ilvl="2" w:tentative="0">
      <w:start w:val="1"/>
      <w:numFmt w:val="decimal"/>
      <w:suff w:val="space"/>
      <w:lvlText w:val="%1.%2.%3"/>
      <w:lvlJc w:val="left"/>
      <w:pPr>
        <w:ind w:left="720" w:hanging="720"/>
      </w:pPr>
      <w:rPr>
        <w:rFonts w:hint="default" w:ascii="Times New Roman" w:hAnsi="Times New Roman" w:eastAsia="宋体" w:cs="Times New Roman"/>
        <w:b/>
        <w:i w:val="0"/>
        <w:caps w:val="0"/>
        <w:strike w:val="0"/>
        <w:dstrike w:val="0"/>
        <w:sz w:val="24"/>
        <w:szCs w:val="24"/>
        <w:vertAlign w:val="baseline"/>
      </w:rPr>
    </w:lvl>
    <w:lvl w:ilvl="3" w:tentative="0">
      <w:start w:val="1"/>
      <w:numFmt w:val="decimal"/>
      <w:suff w:val="space"/>
      <w:lvlText w:val="%1.%2.%3.%4"/>
      <w:lvlJc w:val="left"/>
      <w:pPr>
        <w:ind w:left="0" w:firstLine="0"/>
      </w:pPr>
      <w:rPr>
        <w:rFonts w:hint="default" w:ascii="Times New Roman" w:hAnsi="Times New Roman" w:eastAsia="宋体"/>
        <w:b/>
        <w:i w:val="0"/>
        <w:sz w:val="24"/>
        <w:szCs w:val="24"/>
      </w:rPr>
    </w:lvl>
    <w:lvl w:ilvl="4" w:tentative="0">
      <w:start w:val="1"/>
      <w:numFmt w:val="decimal"/>
      <w:isLgl/>
      <w:suff w:val="space"/>
      <w:lvlText w:val="%1.%2.%3.%4.%5"/>
      <w:lvlJc w:val="left"/>
      <w:pPr>
        <w:ind w:left="1008" w:hanging="1008"/>
      </w:pPr>
      <w:rPr>
        <w:rFonts w:hint="eastAsia" w:ascii="宋体" w:eastAsia="宋体"/>
        <w:b w:val="0"/>
        <w:i w:val="0"/>
        <w:sz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Dc5YmQzYzU5NzIyOTNmZTk1YjY1ZjU3NDQxZGIifQ=="/>
  </w:docVars>
  <w:rsids>
    <w:rsidRoot w:val="00DF700F"/>
    <w:rsid w:val="000350A6"/>
    <w:rsid w:val="00202B91"/>
    <w:rsid w:val="002152CE"/>
    <w:rsid w:val="00405D56"/>
    <w:rsid w:val="00536D6A"/>
    <w:rsid w:val="008031F1"/>
    <w:rsid w:val="00891A18"/>
    <w:rsid w:val="008C002C"/>
    <w:rsid w:val="00920460"/>
    <w:rsid w:val="009F36ED"/>
    <w:rsid w:val="00DC107D"/>
    <w:rsid w:val="00DF700F"/>
    <w:rsid w:val="00E72A50"/>
    <w:rsid w:val="00E815CB"/>
    <w:rsid w:val="00F5484E"/>
    <w:rsid w:val="01B12E58"/>
    <w:rsid w:val="01B549AE"/>
    <w:rsid w:val="02817B6F"/>
    <w:rsid w:val="032E2658"/>
    <w:rsid w:val="04B200D6"/>
    <w:rsid w:val="05524A70"/>
    <w:rsid w:val="05673382"/>
    <w:rsid w:val="0757624F"/>
    <w:rsid w:val="0774295E"/>
    <w:rsid w:val="077C5CB6"/>
    <w:rsid w:val="07952654"/>
    <w:rsid w:val="07D77390"/>
    <w:rsid w:val="08F63846"/>
    <w:rsid w:val="0CB41A4E"/>
    <w:rsid w:val="0D186481"/>
    <w:rsid w:val="0DEB5944"/>
    <w:rsid w:val="0F130CAE"/>
    <w:rsid w:val="109C4CD3"/>
    <w:rsid w:val="109F5ACB"/>
    <w:rsid w:val="10B14C22"/>
    <w:rsid w:val="14661880"/>
    <w:rsid w:val="14EF7AC7"/>
    <w:rsid w:val="17826D8E"/>
    <w:rsid w:val="17887D5F"/>
    <w:rsid w:val="17944956"/>
    <w:rsid w:val="18D47700"/>
    <w:rsid w:val="19502AFF"/>
    <w:rsid w:val="1B974A15"/>
    <w:rsid w:val="1BCA6B98"/>
    <w:rsid w:val="1E087E4C"/>
    <w:rsid w:val="1E334EC9"/>
    <w:rsid w:val="1F7E6617"/>
    <w:rsid w:val="1F8D0609"/>
    <w:rsid w:val="23AC3027"/>
    <w:rsid w:val="24BE7CD9"/>
    <w:rsid w:val="253B4663"/>
    <w:rsid w:val="260E7FC9"/>
    <w:rsid w:val="27135897"/>
    <w:rsid w:val="2BA430FE"/>
    <w:rsid w:val="2D6B7AAF"/>
    <w:rsid w:val="2D742D76"/>
    <w:rsid w:val="2D7746A6"/>
    <w:rsid w:val="2DA03BFD"/>
    <w:rsid w:val="2DC828C4"/>
    <w:rsid w:val="2E9372BE"/>
    <w:rsid w:val="2EC102CF"/>
    <w:rsid w:val="2F762E67"/>
    <w:rsid w:val="2F8337D6"/>
    <w:rsid w:val="31012C04"/>
    <w:rsid w:val="31682C84"/>
    <w:rsid w:val="31AD21C8"/>
    <w:rsid w:val="335E433E"/>
    <w:rsid w:val="36A858D0"/>
    <w:rsid w:val="377E2B92"/>
    <w:rsid w:val="37E36BBB"/>
    <w:rsid w:val="39033292"/>
    <w:rsid w:val="3929719C"/>
    <w:rsid w:val="3AFB2473"/>
    <w:rsid w:val="3B064163"/>
    <w:rsid w:val="3C4D13F4"/>
    <w:rsid w:val="3C7626F9"/>
    <w:rsid w:val="3CF8135F"/>
    <w:rsid w:val="3CF96E86"/>
    <w:rsid w:val="3D0D46DF"/>
    <w:rsid w:val="3D5B369C"/>
    <w:rsid w:val="3E077AB4"/>
    <w:rsid w:val="3E2D5039"/>
    <w:rsid w:val="3EE14075"/>
    <w:rsid w:val="3FFC1167"/>
    <w:rsid w:val="401144E6"/>
    <w:rsid w:val="4278084D"/>
    <w:rsid w:val="42DC0DDB"/>
    <w:rsid w:val="47AA14A8"/>
    <w:rsid w:val="48CE7124"/>
    <w:rsid w:val="493A2D00"/>
    <w:rsid w:val="49437E06"/>
    <w:rsid w:val="49835F6D"/>
    <w:rsid w:val="4A111CB3"/>
    <w:rsid w:val="4A3B6D2F"/>
    <w:rsid w:val="4A8E5923"/>
    <w:rsid w:val="4B614574"/>
    <w:rsid w:val="4BDC009E"/>
    <w:rsid w:val="4C970FCF"/>
    <w:rsid w:val="4D27359B"/>
    <w:rsid w:val="4D341814"/>
    <w:rsid w:val="4D3B063E"/>
    <w:rsid w:val="4DCF7EBB"/>
    <w:rsid w:val="4E241889"/>
    <w:rsid w:val="4F4F0B87"/>
    <w:rsid w:val="4FF534DD"/>
    <w:rsid w:val="514508AC"/>
    <w:rsid w:val="520F6891"/>
    <w:rsid w:val="52100AA2"/>
    <w:rsid w:val="52304CA0"/>
    <w:rsid w:val="53AE40CE"/>
    <w:rsid w:val="55216B22"/>
    <w:rsid w:val="560E52F8"/>
    <w:rsid w:val="58615BB3"/>
    <w:rsid w:val="58E467E4"/>
    <w:rsid w:val="59FD190B"/>
    <w:rsid w:val="5B822944"/>
    <w:rsid w:val="5CE95B0C"/>
    <w:rsid w:val="5DD619A0"/>
    <w:rsid w:val="60F65306"/>
    <w:rsid w:val="613E2060"/>
    <w:rsid w:val="61AF3E33"/>
    <w:rsid w:val="622D6B06"/>
    <w:rsid w:val="6300421A"/>
    <w:rsid w:val="63257D03"/>
    <w:rsid w:val="648275DD"/>
    <w:rsid w:val="65FD140A"/>
    <w:rsid w:val="6625648C"/>
    <w:rsid w:val="6675476C"/>
    <w:rsid w:val="66815672"/>
    <w:rsid w:val="67CF069A"/>
    <w:rsid w:val="67DD4B2A"/>
    <w:rsid w:val="683055A2"/>
    <w:rsid w:val="695157D0"/>
    <w:rsid w:val="6A9930DF"/>
    <w:rsid w:val="6BE566A3"/>
    <w:rsid w:val="6C4A310C"/>
    <w:rsid w:val="6C7812C6"/>
    <w:rsid w:val="6DCA3DA3"/>
    <w:rsid w:val="6DCF760B"/>
    <w:rsid w:val="6E172F09"/>
    <w:rsid w:val="6EF56BFD"/>
    <w:rsid w:val="70440D97"/>
    <w:rsid w:val="71786B01"/>
    <w:rsid w:val="72E6342D"/>
    <w:rsid w:val="72EF427A"/>
    <w:rsid w:val="733221CE"/>
    <w:rsid w:val="7338355D"/>
    <w:rsid w:val="75BC0475"/>
    <w:rsid w:val="75E579CC"/>
    <w:rsid w:val="76427E63"/>
    <w:rsid w:val="788259A6"/>
    <w:rsid w:val="78972AD3"/>
    <w:rsid w:val="78DE6954"/>
    <w:rsid w:val="79142376"/>
    <w:rsid w:val="79B778D1"/>
    <w:rsid w:val="7A4B626B"/>
    <w:rsid w:val="7B9854E0"/>
    <w:rsid w:val="7C0D37D8"/>
    <w:rsid w:val="7CA875CE"/>
    <w:rsid w:val="7CDE5175"/>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
    <w:autoRedefine/>
    <w:qFormat/>
    <w:uiPriority w:val="0"/>
    <w:pPr>
      <w:keepNext/>
      <w:keepLines/>
      <w:numPr>
        <w:ilvl w:val="0"/>
        <w:numId w:val="1"/>
      </w:numPr>
      <w:adjustRightInd w:val="0"/>
      <w:spacing w:before="340" w:after="330" w:line="578" w:lineRule="atLeast"/>
      <w:jc w:val="left"/>
      <w:textAlignment w:val="baseline"/>
      <w:outlineLvl w:val="0"/>
    </w:pPr>
    <w:rPr>
      <w:rFonts w:ascii="Times New Roman" w:hAnsi="Times New Roman"/>
      <w:b/>
      <w:kern w:val="44"/>
      <w:sz w:val="28"/>
      <w:szCs w:val="20"/>
    </w:rPr>
  </w:style>
  <w:style w:type="character" w:default="1" w:styleId="8">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szCs w:val="22"/>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3"/>
    <w:autoRedefine/>
    <w:qFormat/>
    <w:uiPriority w:val="0"/>
    <w:rPr>
      <w:rFonts w:ascii="Times New Roman" w:hAnsi="Times New Roman" w:eastAsia="宋体" w:cs="Times New Roman"/>
      <w:b/>
      <w:kern w:val="44"/>
      <w:sz w:val="28"/>
      <w:szCs w:val="20"/>
    </w:rPr>
  </w:style>
  <w:style w:type="paragraph" w:styleId="10">
    <w:name w:val="List Paragraph"/>
    <w:basedOn w:val="1"/>
    <w:autoRedefine/>
    <w:qFormat/>
    <w:uiPriority w:val="34"/>
    <w:pPr>
      <w:ind w:firstLine="420" w:firstLineChars="200"/>
    </w:pPr>
  </w:style>
  <w:style w:type="character" w:customStyle="1" w:styleId="11">
    <w:name w:val="页眉 Char"/>
    <w:basedOn w:val="8"/>
    <w:link w:val="5"/>
    <w:autoRedefine/>
    <w:semiHidden/>
    <w:qFormat/>
    <w:uiPriority w:val="99"/>
    <w:rPr>
      <w:rFonts w:ascii="Calibri" w:hAnsi="Calibri" w:eastAsia="宋体" w:cs="Times New Roman"/>
      <w:sz w:val="18"/>
      <w:szCs w:val="18"/>
    </w:rPr>
  </w:style>
  <w:style w:type="character" w:customStyle="1" w:styleId="12">
    <w:name w:val="页脚 Char"/>
    <w:basedOn w:val="8"/>
    <w:link w:val="4"/>
    <w:autoRedefine/>
    <w:qFormat/>
    <w:uiPriority w:val="99"/>
    <w:rPr>
      <w:rFonts w:ascii="Calibri" w:hAnsi="Calibri" w:eastAsia="宋体" w:cs="Times New Roman"/>
      <w:sz w:val="18"/>
      <w:szCs w:val="18"/>
    </w:rPr>
  </w:style>
  <w:style w:type="character" w:customStyle="1" w:styleId="13">
    <w:name w:val="NormalCharacter"/>
    <w:link w:val="1"/>
    <w:semiHidden/>
    <w:qFormat/>
    <w:uiPriority w:val="0"/>
    <w:rPr>
      <w:rFonts w:ascii="Calibri" w:hAnsi="Calibri" w:eastAsia="宋体" w:cs="Times New Roman"/>
      <w:kern w:val="2"/>
      <w:sz w:val="21"/>
      <w:szCs w:val="22"/>
      <w:lang w:val="en-US" w:eastAsia="zh-CN" w:bidi="ar-SA"/>
    </w:rPr>
  </w:style>
  <w:style w:type="paragraph" w:customStyle="1" w:styleId="14">
    <w:name w:val="p0"/>
    <w:basedOn w:val="1"/>
    <w:qFormat/>
    <w:uiPriority w:val="0"/>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5504</Words>
  <Characters>5952</Characters>
  <Lines>55</Lines>
  <Paragraphs>15</Paragraphs>
  <TotalTime>2</TotalTime>
  <ScaleCrop>false</ScaleCrop>
  <LinksUpToDate>false</LinksUpToDate>
  <CharactersWithSpaces>6115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2017-11-04T06:38:00Z</dcterms:created>
  <dc:creator>陈有存</dc:creator>
  <cp:lastModifiedBy>ℳꪗꪖꪀᧁ 洋·ꦿ໊ོ༒</cp:lastModifiedBy>
  <cp:lastPrinted>2024-03-05T01:41:00Z</cp:lastPrinted>
  <dcterms:modified xsi:type="dcterms:W3CDTF">2025-12-11T01:14:36Z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3262EDFD1C2144149E53BCD893F613B9_13</vt:lpwstr>
  </property>
  <property fmtid="{D5CDD505-2E9C-101B-9397-08002B2CF9AE}" pid="4" name="KSOTemplateDocerSaveRecord">
    <vt:lpwstr>eyJoZGlkIjoiMmU3MGY5MGRhZDFkNDM1YTFlNTY2NWY5Y2NhMjcxNTAiLCJ1c2VySWQiOiIzNzYxNjI0NjUifQ==</vt:lpwstr>
  </property>
</Properties>
</file>